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6EDF" w14:textId="77777777" w:rsidR="00DE5EDB" w:rsidRPr="001B79C4" w:rsidRDefault="00DE5EDB">
      <w:pPr>
        <w:pStyle w:val="BlockText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</w:t>
      </w:r>
      <w:r w:rsidRPr="001B79C4">
        <w:rPr>
          <w:b/>
          <w:bCs/>
          <w:shd w:val="clear" w:color="auto" w:fill="FFFFFF"/>
        </w:rPr>
        <w:t>echtsanwalt</w:t>
      </w:r>
      <w:r w:rsidR="00FB2AA7" w:rsidRPr="001B79C4">
        <w:rPr>
          <w:b/>
          <w:bCs/>
          <w:shd w:val="clear" w:color="auto" w:fill="FFFFFF"/>
        </w:rPr>
        <w:t xml:space="preserve"> Prof.</w:t>
      </w:r>
      <w:r w:rsidRPr="001B79C4">
        <w:rPr>
          <w:b/>
          <w:bCs/>
          <w:shd w:val="clear" w:color="auto" w:fill="FFFFFF"/>
        </w:rPr>
        <w:t xml:space="preserve"> Dr. Roger Kiem, LL.M. (London)</w:t>
      </w:r>
    </w:p>
    <w:p w14:paraId="0DD8299F" w14:textId="77777777" w:rsidR="00DE5EDB" w:rsidRPr="001B79C4" w:rsidRDefault="00DE5EDB">
      <w:pPr>
        <w:pStyle w:val="BlockText"/>
        <w:rPr>
          <w:b/>
          <w:bCs/>
          <w:shd w:val="clear" w:color="auto" w:fill="D9D9D9"/>
        </w:rPr>
      </w:pPr>
    </w:p>
    <w:p w14:paraId="38C16C9D" w14:textId="77777777" w:rsidR="00363B2F" w:rsidRPr="001B79C4" w:rsidRDefault="00363B2F">
      <w:pPr>
        <w:pStyle w:val="BlockText"/>
        <w:jc w:val="center"/>
        <w:rPr>
          <w:b/>
          <w:sz w:val="32"/>
          <w:szCs w:val="32"/>
        </w:rPr>
      </w:pPr>
      <w:r w:rsidRPr="001B79C4">
        <w:rPr>
          <w:b/>
          <w:sz w:val="32"/>
          <w:szCs w:val="32"/>
        </w:rPr>
        <w:t>Schrifttumsverzeichnis</w:t>
      </w:r>
    </w:p>
    <w:p w14:paraId="6F70912F" w14:textId="7DE98652" w:rsidR="00DE5EDB" w:rsidRPr="001B79C4" w:rsidRDefault="00DE5EDB">
      <w:pPr>
        <w:pStyle w:val="BlockText"/>
        <w:jc w:val="center"/>
      </w:pPr>
      <w:r w:rsidRPr="001B79C4">
        <w:t xml:space="preserve">- Stand: </w:t>
      </w:r>
      <w:r w:rsidR="00C46F74">
        <w:t>13. April</w:t>
      </w:r>
      <w:r w:rsidR="006B6B4D">
        <w:t xml:space="preserve"> 202</w:t>
      </w:r>
      <w:r w:rsidR="009B089D">
        <w:t>6</w:t>
      </w:r>
      <w:r w:rsidR="009524EE">
        <w:t xml:space="preserve"> -</w:t>
      </w:r>
      <w:r w:rsidR="00DA25E4">
        <w:t xml:space="preserve"> </w:t>
      </w:r>
      <w:r w:rsidR="007815CC">
        <w:br/>
      </w:r>
    </w:p>
    <w:p w14:paraId="4C7EA339" w14:textId="77777777" w:rsidR="00DE5EDB" w:rsidRPr="00A56F7E" w:rsidRDefault="00DE5EDB">
      <w:pPr>
        <w:pStyle w:val="Heading1"/>
        <w:rPr>
          <w:u w:val="single"/>
        </w:rPr>
      </w:pPr>
      <w:r w:rsidRPr="00A56F7E">
        <w:rPr>
          <w:u w:val="single"/>
        </w:rPr>
        <w:t>Kommentierungen, Handbücher</w:t>
      </w:r>
      <w:r w:rsidR="00A56F7E">
        <w:rPr>
          <w:u w:val="single"/>
        </w:rPr>
        <w:br/>
      </w:r>
    </w:p>
    <w:p w14:paraId="314891F5" w14:textId="77777777" w:rsidR="00461F35" w:rsidRPr="00AE00F8" w:rsidRDefault="00461F35" w:rsidP="00461F35">
      <w:pPr>
        <w:pStyle w:val="BulletedList"/>
        <w:numPr>
          <w:ilvl w:val="0"/>
          <w:numId w:val="0"/>
        </w:numPr>
        <w:ind w:left="720"/>
        <w:jc w:val="both"/>
        <w:rPr>
          <w:lang w:val="de-DE"/>
        </w:rPr>
      </w:pPr>
      <w:r w:rsidRPr="00AE00F8">
        <w:rPr>
          <w:b/>
          <w:lang w:val="de-DE"/>
        </w:rPr>
        <w:t>Die kleine AG</w:t>
      </w:r>
      <w:r w:rsidRPr="00AE00F8">
        <w:rPr>
          <w:lang w:val="de-DE"/>
        </w:rPr>
        <w:t>, 3. Aufl.,</w:t>
      </w:r>
      <w:r w:rsidR="00973371" w:rsidRPr="00AE00F8">
        <w:rPr>
          <w:lang w:val="de-DE"/>
        </w:rPr>
        <w:t xml:space="preserve"> Köln,</w:t>
      </w:r>
      <w:r w:rsidR="009006A9" w:rsidRPr="00AE00F8">
        <w:rPr>
          <w:lang w:val="de-DE"/>
        </w:rPr>
        <w:t xml:space="preserve"> RWS</w:t>
      </w:r>
      <w:r w:rsidR="00FC6E0E">
        <w:rPr>
          <w:lang w:val="de-DE"/>
        </w:rPr>
        <w:t>, 1996</w:t>
      </w:r>
      <w:r w:rsidRPr="00AE00F8">
        <w:rPr>
          <w:lang w:val="de-DE"/>
        </w:rPr>
        <w:t xml:space="preserve"> (Co-Autor mit </w:t>
      </w:r>
      <w:r w:rsidRPr="00AE00F8">
        <w:rPr>
          <w:i/>
          <w:lang w:val="de-DE"/>
        </w:rPr>
        <w:t>Seibert</w:t>
      </w:r>
      <w:r w:rsidRPr="00AE00F8">
        <w:rPr>
          <w:lang w:val="de-DE"/>
        </w:rPr>
        <w:t xml:space="preserve"> und </w:t>
      </w:r>
      <w:r w:rsidRPr="00AE00F8">
        <w:rPr>
          <w:i/>
          <w:lang w:val="de-DE"/>
        </w:rPr>
        <w:t>Köster</w:t>
      </w:r>
      <w:r w:rsidRPr="00AE00F8">
        <w:rPr>
          <w:lang w:val="de-DE"/>
        </w:rPr>
        <w:t>)</w:t>
      </w:r>
      <w:r w:rsidR="00083C6A">
        <w:rPr>
          <w:lang w:val="de-DE"/>
        </w:rPr>
        <w:t>.</w:t>
      </w:r>
    </w:p>
    <w:p w14:paraId="48142C16" w14:textId="77777777" w:rsidR="00461F35" w:rsidRPr="00AE00F8" w:rsidRDefault="00461F35" w:rsidP="00461F35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083C6A">
        <w:rPr>
          <w:lang w:val="de-DE"/>
        </w:rPr>
        <w:tab/>
      </w:r>
      <w:r w:rsidRPr="00AE00F8">
        <w:rPr>
          <w:b/>
          <w:lang w:val="de-DE"/>
        </w:rPr>
        <w:t>Umwandlungsverträge – Verschmelzung, Spaltung, Formwechsel</w:t>
      </w:r>
      <w:r w:rsidRPr="00AE00F8">
        <w:rPr>
          <w:lang w:val="de-DE"/>
        </w:rPr>
        <w:t>, RWS Vertragskom</w:t>
      </w:r>
      <w:r w:rsidR="0031473C" w:rsidRPr="00AE00F8">
        <w:rPr>
          <w:lang w:val="de-DE"/>
        </w:rPr>
        <w:t>mentar 2, 2. Aufl., Köln,</w:t>
      </w:r>
      <w:r w:rsidR="009006A9" w:rsidRPr="00AE00F8">
        <w:rPr>
          <w:lang w:val="de-DE"/>
        </w:rPr>
        <w:t xml:space="preserve"> RWS</w:t>
      </w:r>
      <w:r w:rsidRPr="00AE00F8">
        <w:rPr>
          <w:lang w:val="de-DE"/>
        </w:rPr>
        <w:t>, 2000.</w:t>
      </w:r>
    </w:p>
    <w:p w14:paraId="48EC17CA" w14:textId="77777777" w:rsidR="00461F35" w:rsidRPr="00AE00F8" w:rsidRDefault="00461F35" w:rsidP="00461F35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AE00F8">
        <w:rPr>
          <w:lang w:val="de-DE"/>
        </w:rPr>
        <w:tab/>
      </w:r>
      <w:r w:rsidRPr="00AE00F8">
        <w:rPr>
          <w:b/>
          <w:lang w:val="de-DE"/>
        </w:rPr>
        <w:t>Handbuch der kleinen AG</w:t>
      </w:r>
      <w:r w:rsidRPr="00AE00F8">
        <w:rPr>
          <w:lang w:val="de-DE"/>
        </w:rPr>
        <w:t>, 4. Aufl.,</w:t>
      </w:r>
      <w:r w:rsidR="00973371" w:rsidRPr="00AE00F8">
        <w:rPr>
          <w:lang w:val="de-DE"/>
        </w:rPr>
        <w:t xml:space="preserve"> Kiem/S</w:t>
      </w:r>
      <w:r w:rsidR="003F13B4" w:rsidRPr="00AE00F8">
        <w:rPr>
          <w:lang w:val="de-DE"/>
        </w:rPr>
        <w:t>e</w:t>
      </w:r>
      <w:r w:rsidR="00973371" w:rsidRPr="00AE00F8">
        <w:rPr>
          <w:lang w:val="de-DE"/>
        </w:rPr>
        <w:t>i</w:t>
      </w:r>
      <w:r w:rsidR="003F13B4" w:rsidRPr="00AE00F8">
        <w:rPr>
          <w:lang w:val="de-DE"/>
        </w:rPr>
        <w:t>bert</w:t>
      </w:r>
      <w:r w:rsidR="00A56F7E" w:rsidRPr="00AE00F8">
        <w:rPr>
          <w:lang w:val="de-DE"/>
        </w:rPr>
        <w:t xml:space="preserve"> (Hrsg.)</w:t>
      </w:r>
      <w:r w:rsidR="003F13B4" w:rsidRPr="00AE00F8">
        <w:rPr>
          <w:lang w:val="de-DE"/>
        </w:rPr>
        <w:t>,</w:t>
      </w:r>
      <w:r w:rsidR="00973371" w:rsidRPr="00AE00F8">
        <w:rPr>
          <w:lang w:val="de-DE"/>
        </w:rPr>
        <w:t xml:space="preserve"> Köln,</w:t>
      </w:r>
      <w:r w:rsidR="009006A9" w:rsidRPr="00AE00F8">
        <w:rPr>
          <w:lang w:val="de-DE"/>
        </w:rPr>
        <w:t xml:space="preserve"> RWS</w:t>
      </w:r>
      <w:r w:rsidRPr="00AE00F8">
        <w:rPr>
          <w:lang w:val="de-DE"/>
        </w:rPr>
        <w:t>, 2000</w:t>
      </w:r>
      <w:r w:rsidR="003F13B4" w:rsidRPr="00AE00F8">
        <w:rPr>
          <w:lang w:val="de-DE"/>
        </w:rPr>
        <w:t xml:space="preserve">. </w:t>
      </w:r>
      <w:r w:rsidR="003F13B4" w:rsidRPr="00AE00F8">
        <w:rPr>
          <w:lang w:val="de-DE"/>
        </w:rPr>
        <w:br/>
      </w:r>
      <w:r w:rsidR="00536C28" w:rsidRPr="00AE00F8">
        <w:rPr>
          <w:lang w:val="de-DE"/>
        </w:rPr>
        <w:t>–</w:t>
      </w:r>
      <w:r w:rsidR="003F13B4" w:rsidRPr="00AE00F8">
        <w:rPr>
          <w:lang w:val="de-DE"/>
        </w:rPr>
        <w:t xml:space="preserve"> die 3. Aufl. erschien 1996 unter dem Titel „Die kleine AG“ – </w:t>
      </w:r>
    </w:p>
    <w:p w14:paraId="24598B62" w14:textId="77777777" w:rsidR="00DE5EDB" w:rsidRDefault="003F13B4" w:rsidP="009524EE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AE00F8">
        <w:rPr>
          <w:lang w:val="de-DE"/>
        </w:rPr>
        <w:tab/>
      </w:r>
      <w:r w:rsidRPr="00AE00F8">
        <w:rPr>
          <w:b/>
          <w:lang w:val="de-DE"/>
        </w:rPr>
        <w:t>Handbuch der kleinen AG</w:t>
      </w:r>
      <w:r w:rsidRPr="00AE00F8">
        <w:rPr>
          <w:lang w:val="de-DE"/>
        </w:rPr>
        <w:t>, 5. Aufl., Kiem/</w:t>
      </w:r>
      <w:r w:rsidR="00973371" w:rsidRPr="00AE00F8">
        <w:rPr>
          <w:lang w:val="de-DE"/>
        </w:rPr>
        <w:t>Schüppen/S</w:t>
      </w:r>
      <w:r w:rsidR="00A56F7E" w:rsidRPr="00AE00F8">
        <w:rPr>
          <w:lang w:val="de-DE"/>
        </w:rPr>
        <w:t>e</w:t>
      </w:r>
      <w:r w:rsidR="00973371" w:rsidRPr="00AE00F8">
        <w:rPr>
          <w:lang w:val="de-DE"/>
        </w:rPr>
        <w:t>ibert</w:t>
      </w:r>
      <w:r w:rsidR="00CA14DA">
        <w:rPr>
          <w:lang w:val="de-DE"/>
        </w:rPr>
        <w:t xml:space="preserve"> (Hrsg.)</w:t>
      </w:r>
      <w:r w:rsidR="00973371" w:rsidRPr="00AE00F8">
        <w:rPr>
          <w:lang w:val="de-DE"/>
        </w:rPr>
        <w:t>, Köln,</w:t>
      </w:r>
      <w:r w:rsidR="009006A9" w:rsidRPr="00AE00F8">
        <w:rPr>
          <w:lang w:val="de-DE"/>
        </w:rPr>
        <w:t xml:space="preserve"> RWS</w:t>
      </w:r>
      <w:r w:rsidR="00A56F7E" w:rsidRPr="00AE00F8">
        <w:rPr>
          <w:lang w:val="de-DE"/>
        </w:rPr>
        <w:t>, 20</w:t>
      </w:r>
      <w:r w:rsidRPr="00AE00F8">
        <w:rPr>
          <w:lang w:val="de-DE"/>
        </w:rPr>
        <w:t>0</w:t>
      </w:r>
      <w:r w:rsidR="00A56F7E" w:rsidRPr="00AE00F8">
        <w:rPr>
          <w:lang w:val="de-DE"/>
        </w:rPr>
        <w:t>7</w:t>
      </w:r>
      <w:r w:rsidRPr="00AE00F8">
        <w:rPr>
          <w:lang w:val="de-DE"/>
        </w:rPr>
        <w:t>.</w:t>
      </w:r>
    </w:p>
    <w:p w14:paraId="1A44F0C4" w14:textId="77777777" w:rsidR="00973371" w:rsidRDefault="00C335F0" w:rsidP="00C335F0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BE2583">
        <w:rPr>
          <w:b/>
          <w:lang w:val="de-DE"/>
        </w:rPr>
        <w:t>Kommentierung der Art. 11-14</w:t>
      </w:r>
      <w:r w:rsidR="00BE2583">
        <w:rPr>
          <w:b/>
          <w:lang w:val="de-DE"/>
        </w:rPr>
        <w:t xml:space="preserve"> </w:t>
      </w:r>
      <w:r w:rsidR="00DE5EDB" w:rsidRPr="00BE2583">
        <w:rPr>
          <w:b/>
          <w:lang w:val="de-DE"/>
        </w:rPr>
        <w:t>SE-VO</w:t>
      </w:r>
      <w:r w:rsidR="00DE5EDB" w:rsidRPr="00BE2583">
        <w:rPr>
          <w:lang w:val="de-DE"/>
        </w:rPr>
        <w:t>, in:</w:t>
      </w:r>
      <w:r w:rsidR="00BE2583">
        <w:rPr>
          <w:lang w:val="de-DE"/>
        </w:rPr>
        <w:t xml:space="preserve"> Zöllner/Noack</w:t>
      </w:r>
      <w:r w:rsidR="00DE5EDB" w:rsidRPr="00BE2583">
        <w:rPr>
          <w:lang w:val="de-DE"/>
        </w:rPr>
        <w:t xml:space="preserve"> </w:t>
      </w:r>
      <w:r w:rsidR="00DA25E4">
        <w:rPr>
          <w:lang w:val="de-DE"/>
        </w:rPr>
        <w:t>(Hrsg.),</w:t>
      </w:r>
      <w:r w:rsidRPr="00BE2583">
        <w:rPr>
          <w:lang w:val="de-DE"/>
        </w:rPr>
        <w:t xml:space="preserve"> </w:t>
      </w:r>
      <w:r w:rsidR="00DE5EDB" w:rsidRPr="00BE2583">
        <w:rPr>
          <w:lang w:val="de-DE"/>
        </w:rPr>
        <w:t>Kölner Komme</w:t>
      </w:r>
      <w:r w:rsidR="00B65A0A">
        <w:rPr>
          <w:lang w:val="de-DE"/>
        </w:rPr>
        <w:t>ntar zum Aktiengesetz, 4</w:t>
      </w:r>
      <w:r w:rsidR="000C1CC9" w:rsidRPr="00BE2583">
        <w:rPr>
          <w:lang w:val="de-DE"/>
        </w:rPr>
        <w:t>. Aufl.</w:t>
      </w:r>
      <w:r w:rsidRPr="00BE2583">
        <w:rPr>
          <w:lang w:val="de-DE"/>
        </w:rPr>
        <w:t>,</w:t>
      </w:r>
      <w:r w:rsidR="00830BD5">
        <w:rPr>
          <w:lang w:val="de-DE"/>
        </w:rPr>
        <w:t xml:space="preserve"> Band 1</w:t>
      </w:r>
      <w:r w:rsidR="00BE2583" w:rsidRPr="00BE2583">
        <w:rPr>
          <w:lang w:val="de-DE"/>
        </w:rPr>
        <w:t xml:space="preserve">, </w:t>
      </w:r>
      <w:r w:rsidR="00BE2583">
        <w:rPr>
          <w:lang w:val="de-DE"/>
        </w:rPr>
        <w:t>Köln</w:t>
      </w:r>
      <w:r w:rsidR="00AE00F8">
        <w:rPr>
          <w:lang w:val="de-DE"/>
        </w:rPr>
        <w:t>,</w:t>
      </w:r>
      <w:r w:rsidR="00BE2583" w:rsidRPr="00BE2583">
        <w:rPr>
          <w:lang w:val="de-DE"/>
        </w:rPr>
        <w:t xml:space="preserve"> </w:t>
      </w:r>
      <w:r w:rsidR="00BE2583">
        <w:rPr>
          <w:lang w:val="de-DE"/>
        </w:rPr>
        <w:t>Carl Heymanns</w:t>
      </w:r>
      <w:r w:rsidRPr="00BE2583">
        <w:rPr>
          <w:lang w:val="de-DE"/>
        </w:rPr>
        <w:t xml:space="preserve">, </w:t>
      </w:r>
      <w:r w:rsidR="00B65A0A">
        <w:rPr>
          <w:lang w:val="de-DE"/>
        </w:rPr>
        <w:t>2021</w:t>
      </w:r>
      <w:r w:rsidR="00545EE5">
        <w:rPr>
          <w:lang w:val="de-DE"/>
        </w:rPr>
        <w:t xml:space="preserve"> (Vorauflage 2009)</w:t>
      </w:r>
      <w:r w:rsidR="00973371">
        <w:rPr>
          <w:lang w:val="de-DE"/>
        </w:rPr>
        <w:t>.</w:t>
      </w:r>
    </w:p>
    <w:p w14:paraId="61D55196" w14:textId="77777777" w:rsidR="00BE2583" w:rsidRDefault="00BE2583" w:rsidP="00C335F0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BE2583">
        <w:rPr>
          <w:b/>
          <w:lang w:val="de-DE"/>
        </w:rPr>
        <w:tab/>
        <w:t>Kommentierung der Art.  52-60, 63-70 SE-VO</w:t>
      </w:r>
      <w:r w:rsidRPr="00BE2583">
        <w:rPr>
          <w:lang w:val="de-DE"/>
        </w:rPr>
        <w:t xml:space="preserve">, in: </w:t>
      </w:r>
      <w:r>
        <w:rPr>
          <w:lang w:val="de-DE"/>
        </w:rPr>
        <w:t xml:space="preserve">Zöllner/Noack </w:t>
      </w:r>
      <w:r w:rsidR="00DA25E4">
        <w:rPr>
          <w:lang w:val="de-DE"/>
        </w:rPr>
        <w:t>(Hrsg.),</w:t>
      </w:r>
      <w:r w:rsidRPr="00BE2583">
        <w:rPr>
          <w:lang w:val="de-DE"/>
        </w:rPr>
        <w:t xml:space="preserve"> Köln</w:t>
      </w:r>
      <w:r w:rsidR="00B65A0A">
        <w:rPr>
          <w:lang w:val="de-DE"/>
        </w:rPr>
        <w:t>er Kommentar zum Aktiengesetz, 4</w:t>
      </w:r>
      <w:r w:rsidR="00830BD5">
        <w:rPr>
          <w:lang w:val="de-DE"/>
        </w:rPr>
        <w:t>. Aufl., Band 2</w:t>
      </w:r>
      <w:r w:rsidRPr="00BE2583">
        <w:rPr>
          <w:lang w:val="de-DE"/>
        </w:rPr>
        <w:t xml:space="preserve">, </w:t>
      </w:r>
      <w:r>
        <w:rPr>
          <w:lang w:val="de-DE"/>
        </w:rPr>
        <w:t>Köln</w:t>
      </w:r>
      <w:r w:rsidR="00AE00F8">
        <w:rPr>
          <w:lang w:val="de-DE"/>
        </w:rPr>
        <w:t>,</w:t>
      </w:r>
      <w:r w:rsidRPr="00BE2583">
        <w:rPr>
          <w:lang w:val="de-DE"/>
        </w:rPr>
        <w:t xml:space="preserve"> C</w:t>
      </w:r>
      <w:r>
        <w:rPr>
          <w:lang w:val="de-DE"/>
        </w:rPr>
        <w:t>arl Heymanns</w:t>
      </w:r>
      <w:r w:rsidR="00B65A0A">
        <w:rPr>
          <w:lang w:val="de-DE"/>
        </w:rPr>
        <w:t>, 2021</w:t>
      </w:r>
      <w:r w:rsidR="00545EE5">
        <w:rPr>
          <w:lang w:val="de-DE"/>
        </w:rPr>
        <w:t xml:space="preserve"> (Vorauflage 2009)</w:t>
      </w:r>
      <w:r w:rsidR="00973371">
        <w:rPr>
          <w:lang w:val="de-DE"/>
        </w:rPr>
        <w:t>.</w:t>
      </w:r>
    </w:p>
    <w:p w14:paraId="4FA7E525" w14:textId="77777777" w:rsidR="00083C6A" w:rsidRDefault="00083C6A" w:rsidP="00083C6A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Pr="00A56F7E">
        <w:rPr>
          <w:b/>
          <w:lang w:val="de-DE"/>
        </w:rPr>
        <w:t>Wertpapierinhaberorientierte Publizität</w:t>
      </w:r>
      <w:r>
        <w:rPr>
          <w:lang w:val="de-DE"/>
        </w:rPr>
        <w:t>, in: Habersack/Mülbert/Schlitt (Hrsg.)</w:t>
      </w:r>
      <w:r w:rsidR="00DA25E4">
        <w:rPr>
          <w:lang w:val="de-DE"/>
        </w:rPr>
        <w:t>,</w:t>
      </w:r>
      <w:r>
        <w:rPr>
          <w:lang w:val="de-DE"/>
        </w:rPr>
        <w:t xml:space="preserve"> Handbuch </w:t>
      </w:r>
      <w:r w:rsidR="00BA34B3">
        <w:rPr>
          <w:lang w:val="de-DE"/>
        </w:rPr>
        <w:t>der Kapitalmarktinformation, 2. </w:t>
      </w:r>
      <w:r>
        <w:rPr>
          <w:lang w:val="de-DE"/>
        </w:rPr>
        <w:t xml:space="preserve">Aufl., </w:t>
      </w:r>
      <w:r w:rsidRPr="00450F03">
        <w:rPr>
          <w:lang w:val="de-DE"/>
        </w:rPr>
        <w:t>München</w:t>
      </w:r>
      <w:r>
        <w:rPr>
          <w:lang w:val="de-DE"/>
        </w:rPr>
        <w:t>, C.H. Beck, 2013</w:t>
      </w:r>
      <w:r w:rsidR="009524EE">
        <w:rPr>
          <w:lang w:val="de-DE"/>
        </w:rPr>
        <w:t xml:space="preserve"> (Vorauflage 2008</w:t>
      </w:r>
      <w:r w:rsidR="005A2FDF">
        <w:rPr>
          <w:lang w:val="de-DE"/>
        </w:rPr>
        <w:t xml:space="preserve">; </w:t>
      </w:r>
      <w:r w:rsidR="00BA34B3">
        <w:rPr>
          <w:lang w:val="de-DE"/>
        </w:rPr>
        <w:t>in 3</w:t>
      </w:r>
      <w:r w:rsidR="005A2FDF">
        <w:rPr>
          <w:lang w:val="de-DE"/>
        </w:rPr>
        <w:t>.</w:t>
      </w:r>
      <w:r w:rsidR="00BA34B3">
        <w:rPr>
          <w:lang w:val="de-DE"/>
        </w:rPr>
        <w:t xml:space="preserve"> Aufl. (2021) fortgeführt von </w:t>
      </w:r>
      <w:r w:rsidR="00BA34B3" w:rsidRPr="00BA34B3">
        <w:rPr>
          <w:i/>
          <w:lang w:val="de-DE"/>
        </w:rPr>
        <w:t>Mülbert</w:t>
      </w:r>
      <w:r w:rsidR="00BA34B3">
        <w:rPr>
          <w:lang w:val="de-DE"/>
        </w:rPr>
        <w:t>/</w:t>
      </w:r>
      <w:r w:rsidR="00BA34B3">
        <w:rPr>
          <w:i/>
          <w:lang w:val="de-DE"/>
        </w:rPr>
        <w:t>Saj</w:t>
      </w:r>
      <w:r w:rsidR="00BA34B3" w:rsidRPr="00BA34B3">
        <w:rPr>
          <w:i/>
          <w:lang w:val="de-DE"/>
        </w:rPr>
        <w:t>novits</w:t>
      </w:r>
      <w:r w:rsidR="005A2FDF" w:rsidRPr="005A2FDF">
        <w:rPr>
          <w:lang w:val="de-DE"/>
        </w:rPr>
        <w:t>)</w:t>
      </w:r>
      <w:r>
        <w:rPr>
          <w:lang w:val="de-DE"/>
        </w:rPr>
        <w:t>.</w:t>
      </w:r>
    </w:p>
    <w:p w14:paraId="770EADBB" w14:textId="77777777" w:rsidR="00C335F0" w:rsidRDefault="00083C6A" w:rsidP="00CA14DA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Pr="00A56F7E">
        <w:rPr>
          <w:b/>
          <w:lang w:val="de-DE"/>
        </w:rPr>
        <w:t xml:space="preserve">Die Entsprechenserklärung </w:t>
      </w:r>
      <w:r>
        <w:rPr>
          <w:b/>
          <w:lang w:val="de-DE"/>
        </w:rPr>
        <w:t>nach</w:t>
      </w:r>
      <w:r w:rsidRPr="00A56F7E">
        <w:rPr>
          <w:b/>
          <w:lang w:val="de-DE"/>
        </w:rPr>
        <w:t xml:space="preserve"> § 161 AktG</w:t>
      </w:r>
      <w:r w:rsidRPr="00A56F7E">
        <w:rPr>
          <w:lang w:val="de-DE"/>
        </w:rPr>
        <w:t xml:space="preserve">, </w:t>
      </w:r>
      <w:r>
        <w:rPr>
          <w:lang w:val="de-DE"/>
        </w:rPr>
        <w:t>in: Ha</w:t>
      </w:r>
      <w:r w:rsidR="00DA25E4">
        <w:rPr>
          <w:lang w:val="de-DE"/>
        </w:rPr>
        <w:t>bersack/Mülbert/Schlitt (Hrsg.),</w:t>
      </w:r>
      <w:r>
        <w:rPr>
          <w:lang w:val="de-DE"/>
        </w:rPr>
        <w:t xml:space="preserve"> Handbuch </w:t>
      </w:r>
      <w:r w:rsidR="00BA34B3">
        <w:rPr>
          <w:lang w:val="de-DE"/>
        </w:rPr>
        <w:t>der Kapitalmarktinformation, 2. </w:t>
      </w:r>
      <w:r>
        <w:rPr>
          <w:lang w:val="de-DE"/>
        </w:rPr>
        <w:t>Aufl., München, C.H. Beck, 2013</w:t>
      </w:r>
      <w:r w:rsidR="00FC6E0E">
        <w:rPr>
          <w:lang w:val="de-DE"/>
        </w:rPr>
        <w:t xml:space="preserve"> </w:t>
      </w:r>
      <w:r w:rsidR="005A2FDF" w:rsidRPr="005A2FDF">
        <w:rPr>
          <w:lang w:val="de-DE"/>
        </w:rPr>
        <w:t xml:space="preserve">(Vorauflage 2008; in 3. Aufl. (2021) fortgeführt von </w:t>
      </w:r>
      <w:r w:rsidR="005A2FDF" w:rsidRPr="005A2FDF">
        <w:rPr>
          <w:i/>
          <w:lang w:val="de-DE"/>
        </w:rPr>
        <w:t>Mülbert</w:t>
      </w:r>
      <w:r w:rsidR="005A2FDF" w:rsidRPr="005A2FDF">
        <w:rPr>
          <w:lang w:val="de-DE"/>
        </w:rPr>
        <w:t>/</w:t>
      </w:r>
      <w:r w:rsidR="005A2FDF" w:rsidRPr="005A2FDF">
        <w:rPr>
          <w:i/>
          <w:lang w:val="de-DE"/>
        </w:rPr>
        <w:t>Sajnovits</w:t>
      </w:r>
      <w:r w:rsidR="005A2FDF" w:rsidRPr="005A2FDF">
        <w:rPr>
          <w:lang w:val="de-DE"/>
        </w:rPr>
        <w:t>)</w:t>
      </w:r>
      <w:r>
        <w:rPr>
          <w:lang w:val="de-DE"/>
        </w:rPr>
        <w:t>.</w:t>
      </w:r>
    </w:p>
    <w:p w14:paraId="092BD15A" w14:textId="5427DA58" w:rsidR="00CA14DA" w:rsidRDefault="00C335F0" w:rsidP="00CA14DA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C14840">
        <w:rPr>
          <w:b/>
          <w:lang w:val="de-DE"/>
        </w:rPr>
        <w:t>Kommentierung der §§ </w:t>
      </w:r>
      <w:r w:rsidR="009524EE" w:rsidRPr="00A56F7E">
        <w:rPr>
          <w:b/>
          <w:lang w:val="de-DE"/>
        </w:rPr>
        <w:t>33 a-d WpÜG</w:t>
      </w:r>
      <w:r w:rsidR="00DA25E4">
        <w:rPr>
          <w:lang w:val="de-DE"/>
        </w:rPr>
        <w:t>, in: Baums/Thoma (Hrsg.),</w:t>
      </w:r>
      <w:r w:rsidR="009524EE" w:rsidRPr="001B79C4">
        <w:rPr>
          <w:lang w:val="de-DE"/>
        </w:rPr>
        <w:t xml:space="preserve"> WpÜG, </w:t>
      </w:r>
      <w:r w:rsidR="009524EE" w:rsidRPr="0030480C">
        <w:rPr>
          <w:lang w:val="de-DE"/>
        </w:rPr>
        <w:t>Loseblatt Lieferung</w:t>
      </w:r>
      <w:r w:rsidR="009524EE">
        <w:rPr>
          <w:lang w:val="de-DE"/>
        </w:rPr>
        <w:t>, Köln, RWS,</w:t>
      </w:r>
      <w:r w:rsidR="009524EE" w:rsidRPr="0030480C">
        <w:rPr>
          <w:lang w:val="de-DE"/>
        </w:rPr>
        <w:t xml:space="preserve"> </w:t>
      </w:r>
      <w:r w:rsidR="009524EE">
        <w:rPr>
          <w:lang w:val="de-DE"/>
        </w:rPr>
        <w:t>20</w:t>
      </w:r>
      <w:r w:rsidR="00C25C76">
        <w:rPr>
          <w:lang w:val="de-DE"/>
        </w:rPr>
        <w:t>26</w:t>
      </w:r>
      <w:r w:rsidR="009524EE">
        <w:rPr>
          <w:lang w:val="de-DE"/>
        </w:rPr>
        <w:t xml:space="preserve"> (Vorauflage</w:t>
      </w:r>
      <w:r w:rsidR="00C25C76">
        <w:rPr>
          <w:lang w:val="de-DE"/>
        </w:rPr>
        <w:t>n</w:t>
      </w:r>
      <w:r w:rsidR="009524EE">
        <w:rPr>
          <w:lang w:val="de-DE"/>
        </w:rPr>
        <w:t xml:space="preserve"> 2007</w:t>
      </w:r>
      <w:r w:rsidR="00C25C76">
        <w:rPr>
          <w:lang w:val="de-DE"/>
        </w:rPr>
        <w:t xml:space="preserve"> und 2015</w:t>
      </w:r>
      <w:r w:rsidR="009524EE">
        <w:rPr>
          <w:lang w:val="de-DE"/>
        </w:rPr>
        <w:t>).</w:t>
      </w:r>
    </w:p>
    <w:p w14:paraId="710B2B41" w14:textId="77777777" w:rsidR="00CA14DA" w:rsidRDefault="00CA14DA" w:rsidP="00616FC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C14840">
        <w:rPr>
          <w:b/>
          <w:lang w:val="de-DE"/>
        </w:rPr>
        <w:t>Kommentierung der §§ 1</w:t>
      </w:r>
      <w:r w:rsidRPr="00CA14DA">
        <w:rPr>
          <w:b/>
          <w:lang w:val="de-DE"/>
        </w:rPr>
        <w:t>22 a bis 122 l UmwG</w:t>
      </w:r>
      <w:r w:rsidRPr="00CA14DA">
        <w:rPr>
          <w:lang w:val="de-DE"/>
        </w:rPr>
        <w:t xml:space="preserve"> (Vorschriften zur grenzüberschreitenden Verschmelzung), in: Habersack/Drinhausen (Hrsg.), SE-Recht mit grenzüberschreitender Verschm</w:t>
      </w:r>
      <w:r>
        <w:rPr>
          <w:lang w:val="de-DE"/>
        </w:rPr>
        <w:t>elzung,</w:t>
      </w:r>
      <w:r w:rsidR="00C14840">
        <w:rPr>
          <w:lang w:val="de-DE"/>
        </w:rPr>
        <w:t xml:space="preserve"> 3. </w:t>
      </w:r>
      <w:r w:rsidR="00054259">
        <w:rPr>
          <w:lang w:val="de-DE"/>
        </w:rPr>
        <w:t>Aufl.,</w:t>
      </w:r>
      <w:r>
        <w:rPr>
          <w:lang w:val="de-DE"/>
        </w:rPr>
        <w:t xml:space="preserve"> München, C.H. Beck, 20</w:t>
      </w:r>
      <w:r w:rsidR="00C14840">
        <w:rPr>
          <w:lang w:val="de-DE"/>
        </w:rPr>
        <w:t>21</w:t>
      </w:r>
      <w:r>
        <w:rPr>
          <w:lang w:val="de-DE"/>
        </w:rPr>
        <w:t xml:space="preserve"> (Vorauflage</w:t>
      </w:r>
      <w:r w:rsidR="00C14840">
        <w:rPr>
          <w:lang w:val="de-DE"/>
        </w:rPr>
        <w:t>n</w:t>
      </w:r>
      <w:r>
        <w:rPr>
          <w:lang w:val="de-DE"/>
        </w:rPr>
        <w:t xml:space="preserve"> 2013</w:t>
      </w:r>
      <w:r w:rsidR="00C14840">
        <w:rPr>
          <w:lang w:val="de-DE"/>
        </w:rPr>
        <w:t xml:space="preserve"> und 2016</w:t>
      </w:r>
      <w:r>
        <w:rPr>
          <w:lang w:val="de-DE"/>
        </w:rPr>
        <w:t>)</w:t>
      </w:r>
      <w:r w:rsidRPr="00CA14DA">
        <w:rPr>
          <w:lang w:val="de-DE"/>
        </w:rPr>
        <w:t>.</w:t>
      </w:r>
    </w:p>
    <w:p w14:paraId="183A8DC2" w14:textId="6195AABA" w:rsidR="004C6989" w:rsidRDefault="004C6989" w:rsidP="00616FC4">
      <w:pPr>
        <w:pStyle w:val="BulletedList"/>
        <w:numPr>
          <w:ilvl w:val="0"/>
          <w:numId w:val="0"/>
        </w:numPr>
        <w:ind w:left="720" w:hanging="720"/>
        <w:jc w:val="both"/>
        <w:rPr>
          <w:bCs/>
          <w:lang w:val="de-DE"/>
        </w:rPr>
      </w:pPr>
      <w:r>
        <w:rPr>
          <w:b/>
          <w:lang w:val="de-DE"/>
        </w:rPr>
        <w:lastRenderedPageBreak/>
        <w:tab/>
      </w:r>
      <w:bookmarkStart w:id="0" w:name="_Hlk189830876"/>
      <w:r>
        <w:rPr>
          <w:b/>
          <w:lang w:val="de-DE"/>
        </w:rPr>
        <w:t>Kommentierung der §§ 305-319 UmwG</w:t>
      </w:r>
      <w:r w:rsidR="00930E8A">
        <w:rPr>
          <w:b/>
          <w:lang w:val="de-DE"/>
        </w:rPr>
        <w:t xml:space="preserve"> </w:t>
      </w:r>
      <w:r w:rsidR="00930E8A" w:rsidRPr="006E187A">
        <w:rPr>
          <w:bCs/>
          <w:lang w:val="de-DE"/>
        </w:rPr>
        <w:t>(grenzüberschreitende Verschmelzung)</w:t>
      </w:r>
      <w:r w:rsidR="00930E8A" w:rsidRPr="00930E8A">
        <w:rPr>
          <w:bCs/>
          <w:lang w:val="de-DE"/>
        </w:rPr>
        <w:t>, in</w:t>
      </w:r>
      <w:r w:rsidR="00930E8A">
        <w:rPr>
          <w:bCs/>
          <w:lang w:val="de-DE"/>
        </w:rPr>
        <w:t>:</w:t>
      </w:r>
      <w:r w:rsidR="00930E8A" w:rsidRPr="00930E8A">
        <w:rPr>
          <w:lang w:val="de-DE"/>
        </w:rPr>
        <w:t xml:space="preserve"> </w:t>
      </w:r>
      <w:r w:rsidR="00930E8A" w:rsidRPr="00CA14DA">
        <w:rPr>
          <w:lang w:val="de-DE"/>
        </w:rPr>
        <w:t xml:space="preserve">Habersack/Drinhausen (Hrsg.), </w:t>
      </w:r>
      <w:r w:rsidR="00930E8A">
        <w:rPr>
          <w:lang w:val="de-DE"/>
        </w:rPr>
        <w:t xml:space="preserve">Recht </w:t>
      </w:r>
      <w:r w:rsidR="00930E8A" w:rsidRPr="00930E8A">
        <w:rPr>
          <w:lang w:val="de-DE"/>
        </w:rPr>
        <w:t>der SE und der grenzüberschreitenden Umwandlung</w:t>
      </w:r>
      <w:r w:rsidR="00930E8A">
        <w:rPr>
          <w:lang w:val="de-DE"/>
        </w:rPr>
        <w:t>, 4. Aufl., München, C.H. Beck, 2025</w:t>
      </w:r>
      <w:r w:rsidR="00C43E22">
        <w:rPr>
          <w:lang w:val="de-DE"/>
        </w:rPr>
        <w:t>.</w:t>
      </w:r>
      <w:r w:rsidR="00930E8A">
        <w:rPr>
          <w:lang w:val="de-DE"/>
        </w:rPr>
        <w:t xml:space="preserve"> </w:t>
      </w:r>
      <w:r w:rsidR="00930E8A" w:rsidRPr="00930E8A">
        <w:rPr>
          <w:bCs/>
          <w:lang w:val="de-DE"/>
        </w:rPr>
        <w:t xml:space="preserve"> </w:t>
      </w:r>
      <w:bookmarkEnd w:id="0"/>
    </w:p>
    <w:p w14:paraId="0AB7F4FA" w14:textId="0AE57F61" w:rsidR="00C43E22" w:rsidRDefault="00C43E22" w:rsidP="00616FC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b/>
          <w:lang w:val="de-DE"/>
        </w:rPr>
        <w:tab/>
        <w:t xml:space="preserve">Kommentierung </w:t>
      </w:r>
      <w:bookmarkStart w:id="1" w:name="_Hlk189830954"/>
      <w:r>
        <w:rPr>
          <w:b/>
          <w:lang w:val="de-DE"/>
        </w:rPr>
        <w:t xml:space="preserve">der §§ 320-332 UmwG </w:t>
      </w:r>
      <w:r w:rsidRPr="006E187A">
        <w:rPr>
          <w:bCs/>
          <w:lang w:val="de-DE"/>
        </w:rPr>
        <w:t>(grenzüberschreitende Spaltung)</w:t>
      </w:r>
      <w:r>
        <w:rPr>
          <w:b/>
          <w:lang w:val="de-DE"/>
        </w:rPr>
        <w:t xml:space="preserve"> </w:t>
      </w:r>
      <w:bookmarkEnd w:id="1"/>
      <w:r>
        <w:rPr>
          <w:b/>
          <w:lang w:val="de-DE"/>
        </w:rPr>
        <w:t xml:space="preserve">und der §§ 333-345 UmwG </w:t>
      </w:r>
      <w:r w:rsidRPr="006E187A">
        <w:rPr>
          <w:bCs/>
          <w:lang w:val="de-DE"/>
        </w:rPr>
        <w:t>(grenzüberschreitender Formwechsel)</w:t>
      </w:r>
      <w:r w:rsidRPr="00930E8A">
        <w:rPr>
          <w:bCs/>
          <w:lang w:val="de-DE"/>
        </w:rPr>
        <w:t>, in</w:t>
      </w:r>
      <w:r>
        <w:rPr>
          <w:bCs/>
          <w:lang w:val="de-DE"/>
        </w:rPr>
        <w:t>:</w:t>
      </w:r>
      <w:r w:rsidRPr="00930E8A">
        <w:rPr>
          <w:lang w:val="de-DE"/>
        </w:rPr>
        <w:t xml:space="preserve"> </w:t>
      </w:r>
      <w:r w:rsidRPr="00CA14DA">
        <w:rPr>
          <w:lang w:val="de-DE"/>
        </w:rPr>
        <w:t xml:space="preserve">Habersack/Drinhausen (Hrsg.), </w:t>
      </w:r>
      <w:r>
        <w:rPr>
          <w:lang w:val="de-DE"/>
        </w:rPr>
        <w:t xml:space="preserve">Recht </w:t>
      </w:r>
      <w:r w:rsidRPr="00930E8A">
        <w:rPr>
          <w:lang w:val="de-DE"/>
        </w:rPr>
        <w:t>der SE und der grenzüberschreitenden Umwandlung</w:t>
      </w:r>
      <w:r>
        <w:rPr>
          <w:lang w:val="de-DE"/>
        </w:rPr>
        <w:t>, 4. Aufl., München, C.H. Beck, 2025</w:t>
      </w:r>
      <w:r w:rsidR="006E3F17">
        <w:rPr>
          <w:lang w:val="de-DE"/>
        </w:rPr>
        <w:t xml:space="preserve"> (zusammen mit </w:t>
      </w:r>
      <w:r w:rsidR="006E3F17" w:rsidRPr="006E3F17">
        <w:rPr>
          <w:i/>
          <w:iCs/>
          <w:lang w:val="de-DE"/>
        </w:rPr>
        <w:t>Sitter</w:t>
      </w:r>
      <w:r w:rsidR="006E3F17">
        <w:rPr>
          <w:lang w:val="de-DE"/>
        </w:rPr>
        <w:t>)</w:t>
      </w:r>
      <w:r>
        <w:rPr>
          <w:lang w:val="de-DE"/>
        </w:rPr>
        <w:t>.</w:t>
      </w:r>
    </w:p>
    <w:p w14:paraId="54875A58" w14:textId="4BA51FEA" w:rsidR="00616FC4" w:rsidRDefault="00616FC4" w:rsidP="00DA25E4">
      <w:pPr>
        <w:pStyle w:val="BulletedList"/>
        <w:numPr>
          <w:ilvl w:val="0"/>
          <w:numId w:val="0"/>
        </w:numPr>
        <w:spacing w:after="480"/>
        <w:ind w:left="720" w:hanging="720"/>
        <w:jc w:val="both"/>
        <w:rPr>
          <w:lang w:val="de-DE"/>
        </w:rPr>
      </w:pPr>
      <w:r>
        <w:rPr>
          <w:b/>
          <w:lang w:val="de-DE"/>
        </w:rPr>
        <w:tab/>
      </w:r>
      <w:r w:rsidRPr="00616FC4">
        <w:rPr>
          <w:b/>
          <w:lang w:val="de-DE"/>
        </w:rPr>
        <w:t>Kommentierung</w:t>
      </w:r>
      <w:r>
        <w:rPr>
          <w:lang w:val="de-DE"/>
        </w:rPr>
        <w:t xml:space="preserve"> </w:t>
      </w:r>
      <w:r w:rsidR="00025683">
        <w:rPr>
          <w:b/>
          <w:lang w:val="de-DE"/>
        </w:rPr>
        <w:t>der §§ </w:t>
      </w:r>
      <w:r w:rsidRPr="00616FC4">
        <w:rPr>
          <w:b/>
          <w:lang w:val="de-DE"/>
        </w:rPr>
        <w:t>20, 21 SchVG</w:t>
      </w:r>
      <w:r w:rsidR="005D2DD9">
        <w:rPr>
          <w:b/>
          <w:lang w:val="de-DE"/>
        </w:rPr>
        <w:t xml:space="preserve"> </w:t>
      </w:r>
      <w:r w:rsidR="005D2DD9" w:rsidRPr="005D2DD9">
        <w:rPr>
          <w:lang w:val="de-DE"/>
        </w:rPr>
        <w:t>(Recht</w:t>
      </w:r>
      <w:r w:rsidR="00054259">
        <w:rPr>
          <w:lang w:val="de-DE"/>
        </w:rPr>
        <w:t>s</w:t>
      </w:r>
      <w:r w:rsidR="005D2DD9" w:rsidRPr="005D2DD9">
        <w:rPr>
          <w:lang w:val="de-DE"/>
        </w:rPr>
        <w:t>schutz, Vollzug von Beschlüssen)</w:t>
      </w:r>
      <w:r>
        <w:rPr>
          <w:lang w:val="de-DE"/>
        </w:rPr>
        <w:t>, in Hopt/Seibt (Hrsg.), Schuldversch</w:t>
      </w:r>
      <w:r w:rsidR="00982460">
        <w:rPr>
          <w:lang w:val="de-DE"/>
        </w:rPr>
        <w:t xml:space="preserve">reibungsrecht, </w:t>
      </w:r>
      <w:r w:rsidR="009B089D">
        <w:rPr>
          <w:lang w:val="de-DE"/>
        </w:rPr>
        <w:t>3</w:t>
      </w:r>
      <w:r w:rsidR="00E25938">
        <w:rPr>
          <w:lang w:val="de-DE"/>
        </w:rPr>
        <w:t xml:space="preserve">. Aufl., </w:t>
      </w:r>
      <w:r w:rsidR="00982460">
        <w:rPr>
          <w:lang w:val="de-DE"/>
        </w:rPr>
        <w:t xml:space="preserve">Köln, </w:t>
      </w:r>
      <w:r w:rsidR="00386164">
        <w:rPr>
          <w:lang w:val="de-DE"/>
        </w:rPr>
        <w:t xml:space="preserve">Dr. </w:t>
      </w:r>
      <w:r w:rsidR="00982460">
        <w:rPr>
          <w:lang w:val="de-DE"/>
        </w:rPr>
        <w:t>Otto Schmid</w:t>
      </w:r>
      <w:r>
        <w:rPr>
          <w:lang w:val="de-DE"/>
        </w:rPr>
        <w:t xml:space="preserve">t, </w:t>
      </w:r>
      <w:r w:rsidR="00E25938">
        <w:rPr>
          <w:lang w:val="de-DE"/>
        </w:rPr>
        <w:t>202</w:t>
      </w:r>
      <w:r w:rsidR="009B089D">
        <w:rPr>
          <w:lang w:val="de-DE"/>
        </w:rPr>
        <w:t>6</w:t>
      </w:r>
      <w:r w:rsidR="00E25938">
        <w:rPr>
          <w:lang w:val="de-DE"/>
        </w:rPr>
        <w:t xml:space="preserve"> (Vorauflage</w:t>
      </w:r>
      <w:r w:rsidR="009B089D">
        <w:rPr>
          <w:lang w:val="de-DE"/>
        </w:rPr>
        <w:t>n</w:t>
      </w:r>
      <w:r w:rsidR="00E25938">
        <w:rPr>
          <w:lang w:val="de-DE"/>
        </w:rPr>
        <w:t xml:space="preserve"> </w:t>
      </w:r>
      <w:r>
        <w:rPr>
          <w:lang w:val="de-DE"/>
        </w:rPr>
        <w:t>2017</w:t>
      </w:r>
      <w:r w:rsidR="009B089D">
        <w:rPr>
          <w:lang w:val="de-DE"/>
        </w:rPr>
        <w:t xml:space="preserve"> und 2023</w:t>
      </w:r>
      <w:r w:rsidR="00E25938">
        <w:rPr>
          <w:lang w:val="de-DE"/>
        </w:rPr>
        <w:t>)</w:t>
      </w:r>
      <w:r>
        <w:rPr>
          <w:lang w:val="de-DE"/>
        </w:rPr>
        <w:t>.</w:t>
      </w:r>
    </w:p>
    <w:p w14:paraId="67A1B403" w14:textId="2313C8BA" w:rsidR="00DB6491" w:rsidRDefault="00DB6491" w:rsidP="00DB6491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b/>
          <w:lang w:val="de-DE"/>
        </w:rPr>
        <w:tab/>
      </w:r>
      <w:r w:rsidRPr="00C335F0">
        <w:rPr>
          <w:b/>
          <w:lang w:val="de-DE"/>
        </w:rPr>
        <w:t>Kaufpreisregelungen beim Unternehmenskauf, Bewertung, Kaufpreisermittlung, Klauselgestaltung, Kaufpreisanpassung</w:t>
      </w:r>
      <w:r w:rsidRPr="001B79C4">
        <w:rPr>
          <w:lang w:val="de-DE"/>
        </w:rPr>
        <w:t xml:space="preserve">, </w:t>
      </w:r>
      <w:r w:rsidR="001E5B4D">
        <w:rPr>
          <w:lang w:val="de-DE"/>
        </w:rPr>
        <w:t>3</w:t>
      </w:r>
      <w:r w:rsidR="00025683">
        <w:rPr>
          <w:lang w:val="de-DE"/>
        </w:rPr>
        <w:t>. </w:t>
      </w:r>
      <w:r>
        <w:rPr>
          <w:lang w:val="de-DE"/>
        </w:rPr>
        <w:t>Aufl., München, C.H. Beck, 20</w:t>
      </w:r>
      <w:r w:rsidR="001E5B4D">
        <w:rPr>
          <w:lang w:val="de-DE"/>
        </w:rPr>
        <w:t>23</w:t>
      </w:r>
      <w:r>
        <w:rPr>
          <w:lang w:val="de-DE"/>
        </w:rPr>
        <w:t>,</w:t>
      </w:r>
      <w:r w:rsidRPr="001B79C4">
        <w:rPr>
          <w:lang w:val="de-DE"/>
        </w:rPr>
        <w:t xml:space="preserve"> (</w:t>
      </w:r>
      <w:r w:rsidRPr="00102AAB">
        <w:rPr>
          <w:lang w:val="de-DE"/>
        </w:rPr>
        <w:t>Herausgeber,</w:t>
      </w:r>
      <w:r w:rsidRPr="001B79C4">
        <w:rPr>
          <w:lang w:val="de-DE"/>
        </w:rPr>
        <w:t xml:space="preserve"> Co-Autor mit </w:t>
      </w:r>
      <w:r w:rsidRPr="00FC0EBD">
        <w:rPr>
          <w:i/>
          <w:lang w:val="de-DE"/>
        </w:rPr>
        <w:t>Caumanns</w:t>
      </w:r>
      <w:r w:rsidRPr="001B79C4">
        <w:rPr>
          <w:lang w:val="de-DE"/>
        </w:rPr>
        <w:t xml:space="preserve">, </w:t>
      </w:r>
      <w:r w:rsidRPr="00FC0EBD">
        <w:rPr>
          <w:i/>
          <w:lang w:val="de-DE"/>
        </w:rPr>
        <w:t>Koesling</w:t>
      </w:r>
      <w:r w:rsidRPr="001B79C4">
        <w:rPr>
          <w:lang w:val="de-DE"/>
        </w:rPr>
        <w:t xml:space="preserve">, </w:t>
      </w:r>
      <w:r w:rsidRPr="00FC0EBD">
        <w:rPr>
          <w:i/>
          <w:lang w:val="de-DE"/>
        </w:rPr>
        <w:t>König</w:t>
      </w:r>
      <w:r w:rsidRPr="001B79C4">
        <w:rPr>
          <w:lang w:val="de-DE"/>
        </w:rPr>
        <w:t xml:space="preserve">, </w:t>
      </w:r>
      <w:r w:rsidRPr="00FC0EBD">
        <w:rPr>
          <w:i/>
          <w:lang w:val="de-DE"/>
        </w:rPr>
        <w:t>Neuhaus</w:t>
      </w:r>
      <w:r>
        <w:rPr>
          <w:lang w:val="de-DE"/>
        </w:rPr>
        <w:t>), (Vorauflage</w:t>
      </w:r>
      <w:r w:rsidR="001E5B4D">
        <w:rPr>
          <w:lang w:val="de-DE"/>
        </w:rPr>
        <w:t>n</w:t>
      </w:r>
      <w:r>
        <w:rPr>
          <w:lang w:val="de-DE"/>
        </w:rPr>
        <w:t xml:space="preserve"> 2015</w:t>
      </w:r>
      <w:r w:rsidR="001E5B4D">
        <w:rPr>
          <w:lang w:val="de-DE"/>
        </w:rPr>
        <w:t xml:space="preserve"> und 2018</w:t>
      </w:r>
      <w:r>
        <w:rPr>
          <w:lang w:val="de-DE"/>
        </w:rPr>
        <w:t>).</w:t>
      </w:r>
    </w:p>
    <w:p w14:paraId="4183D352" w14:textId="77777777" w:rsidR="004D49FE" w:rsidRPr="004D49FE" w:rsidRDefault="00DE5EDB" w:rsidP="004D49FE">
      <w:pPr>
        <w:pStyle w:val="Heading1"/>
        <w:rPr>
          <w:u w:val="single"/>
        </w:rPr>
      </w:pPr>
      <w:r w:rsidRPr="004D49FE">
        <w:rPr>
          <w:u w:val="single"/>
        </w:rPr>
        <w:t>Selbständige Schriften</w:t>
      </w:r>
      <w:r w:rsidR="004D49FE" w:rsidRPr="004D49FE">
        <w:rPr>
          <w:u w:val="single"/>
        </w:rPr>
        <w:br/>
      </w:r>
    </w:p>
    <w:p w14:paraId="794ED0C5" w14:textId="77777777" w:rsidR="00934E14" w:rsidRDefault="00544AAA" w:rsidP="00DA25E4">
      <w:pPr>
        <w:pStyle w:val="BulletedList"/>
        <w:numPr>
          <w:ilvl w:val="0"/>
          <w:numId w:val="0"/>
        </w:numPr>
        <w:spacing w:after="480"/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544AAA">
        <w:rPr>
          <w:b/>
          <w:lang w:val="de-DE"/>
        </w:rPr>
        <w:t>Die Eintragung der angefochtenen Verschmelzung – aktienrechtliche und registerrechtliche Auswirkungen vo</w:t>
      </w:r>
      <w:r w:rsidR="00875D7D" w:rsidRPr="00544AAA">
        <w:rPr>
          <w:b/>
          <w:lang w:val="de-DE"/>
        </w:rPr>
        <w:t>n Verschmelzungsblockaden</w:t>
      </w:r>
      <w:r w:rsidR="00875D7D" w:rsidRPr="001B79C4">
        <w:rPr>
          <w:lang w:val="de-DE"/>
        </w:rPr>
        <w:t xml:space="preserve">, </w:t>
      </w:r>
      <w:r w:rsidR="00C7141A">
        <w:rPr>
          <w:lang w:val="de-DE"/>
        </w:rPr>
        <w:t>Köln</w:t>
      </w:r>
      <w:r w:rsidR="00AE00F8">
        <w:rPr>
          <w:lang w:val="de-DE"/>
        </w:rPr>
        <w:t>,</w:t>
      </w:r>
      <w:r>
        <w:rPr>
          <w:lang w:val="de-DE"/>
        </w:rPr>
        <w:t xml:space="preserve"> </w:t>
      </w:r>
      <w:r w:rsidR="00875D7D" w:rsidRPr="001B79C4">
        <w:rPr>
          <w:lang w:val="de-DE"/>
        </w:rPr>
        <w:t xml:space="preserve">Carl </w:t>
      </w:r>
      <w:r w:rsidR="00DE5EDB" w:rsidRPr="001B79C4">
        <w:rPr>
          <w:lang w:val="de-DE"/>
        </w:rPr>
        <w:t>Hey</w:t>
      </w:r>
      <w:r w:rsidR="00C7141A">
        <w:rPr>
          <w:lang w:val="de-DE"/>
        </w:rPr>
        <w:t>manns</w:t>
      </w:r>
      <w:r w:rsidR="00DE5EDB" w:rsidRPr="001B79C4">
        <w:rPr>
          <w:lang w:val="de-DE"/>
        </w:rPr>
        <w:t>, 1991.</w:t>
      </w:r>
    </w:p>
    <w:p w14:paraId="5FAC098E" w14:textId="77777777" w:rsidR="00DE5EDB" w:rsidRPr="004D49FE" w:rsidRDefault="00DE5EDB">
      <w:pPr>
        <w:pStyle w:val="Heading1"/>
        <w:rPr>
          <w:u w:val="single"/>
        </w:rPr>
      </w:pPr>
      <w:r w:rsidRPr="004D49FE">
        <w:rPr>
          <w:u w:val="single"/>
        </w:rPr>
        <w:t xml:space="preserve">Herausgegebene Sammelwerke </w:t>
      </w:r>
      <w:r w:rsidR="004D49FE">
        <w:rPr>
          <w:u w:val="single"/>
        </w:rPr>
        <w:br/>
      </w:r>
    </w:p>
    <w:p w14:paraId="65F76D51" w14:textId="77777777" w:rsidR="00DE5EDB" w:rsidRPr="001B79C4" w:rsidRDefault="004D49FE" w:rsidP="004D49FE">
      <w:pPr>
        <w:pStyle w:val="BulletedList"/>
        <w:numPr>
          <w:ilvl w:val="0"/>
          <w:numId w:val="0"/>
        </w:numPr>
        <w:ind w:left="720" w:hanging="720"/>
        <w:rPr>
          <w:lang w:val="de-DE"/>
        </w:rPr>
      </w:pPr>
      <w:r>
        <w:rPr>
          <w:lang w:val="de-DE"/>
        </w:rPr>
        <w:tab/>
      </w:r>
      <w:r w:rsidR="00DE5EDB" w:rsidRPr="004D49FE">
        <w:rPr>
          <w:b/>
          <w:lang w:val="de-DE"/>
        </w:rPr>
        <w:t>10 Jahre WpÜG – Entwicklungsstand – Praktische Erfahrungen – Reformbedarf – Persp</w:t>
      </w:r>
      <w:r w:rsidR="00F80968" w:rsidRPr="004D49FE">
        <w:rPr>
          <w:b/>
          <w:lang w:val="de-DE"/>
        </w:rPr>
        <w:t>ektiven</w:t>
      </w:r>
      <w:r w:rsidR="00F80968" w:rsidRPr="001B79C4">
        <w:rPr>
          <w:lang w:val="de-DE"/>
        </w:rPr>
        <w:t xml:space="preserve">, ZHR </w:t>
      </w:r>
      <w:r w:rsidR="00756CD2">
        <w:rPr>
          <w:lang w:val="de-DE"/>
        </w:rPr>
        <w:t>Sonderheft Nr. </w:t>
      </w:r>
      <w:r w:rsidR="00973371">
        <w:rPr>
          <w:lang w:val="de-DE"/>
        </w:rPr>
        <w:t>76</w:t>
      </w:r>
      <w:r>
        <w:rPr>
          <w:lang w:val="de-DE"/>
        </w:rPr>
        <w:t>,</w:t>
      </w:r>
      <w:r w:rsidR="00F80968" w:rsidRPr="001B79C4">
        <w:rPr>
          <w:lang w:val="de-DE"/>
        </w:rPr>
        <w:t xml:space="preserve"> </w:t>
      </w:r>
      <w:r w:rsidR="00083C6A">
        <w:rPr>
          <w:lang w:val="de-DE"/>
        </w:rPr>
        <w:t>2011,</w:t>
      </w:r>
      <w:r w:rsidR="00DE5EDB" w:rsidRPr="001B79C4">
        <w:rPr>
          <w:lang w:val="de-DE"/>
        </w:rPr>
        <w:t xml:space="preserve"> </w:t>
      </w:r>
      <w:r>
        <w:rPr>
          <w:lang w:val="de-DE"/>
        </w:rPr>
        <w:t>(</w:t>
      </w:r>
      <w:r w:rsidR="00DE5EDB" w:rsidRPr="001B79C4">
        <w:rPr>
          <w:lang w:val="de-DE"/>
        </w:rPr>
        <w:t>zu</w:t>
      </w:r>
      <w:r w:rsidR="00F80968" w:rsidRPr="001B79C4">
        <w:rPr>
          <w:lang w:val="de-DE"/>
        </w:rPr>
        <w:t xml:space="preserve">sammen mit </w:t>
      </w:r>
      <w:r w:rsidR="00F80968" w:rsidRPr="002271C5">
        <w:rPr>
          <w:i/>
          <w:lang w:val="de-DE"/>
        </w:rPr>
        <w:t>Mülbert</w:t>
      </w:r>
      <w:r w:rsidR="00F80968" w:rsidRPr="001B79C4">
        <w:rPr>
          <w:lang w:val="de-DE"/>
        </w:rPr>
        <w:t xml:space="preserve"> und </w:t>
      </w:r>
      <w:r w:rsidR="00F80968" w:rsidRPr="002271C5">
        <w:rPr>
          <w:i/>
          <w:lang w:val="de-DE"/>
        </w:rPr>
        <w:t>Wittig</w:t>
      </w:r>
      <w:r>
        <w:rPr>
          <w:lang w:val="de-DE"/>
        </w:rPr>
        <w:t>)</w:t>
      </w:r>
      <w:r w:rsidR="00083C6A">
        <w:rPr>
          <w:lang w:val="de-DE"/>
        </w:rPr>
        <w:t>.</w:t>
      </w:r>
    </w:p>
    <w:p w14:paraId="6029A95F" w14:textId="77777777" w:rsidR="00F80968" w:rsidRDefault="004D49FE" w:rsidP="00DA25E4">
      <w:pPr>
        <w:pStyle w:val="BulletedList"/>
        <w:numPr>
          <w:ilvl w:val="0"/>
          <w:numId w:val="0"/>
        </w:numPr>
        <w:spacing w:after="480"/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A564FE" w:rsidRPr="004D49FE">
        <w:rPr>
          <w:b/>
          <w:lang w:val="de-DE"/>
        </w:rPr>
        <w:t>10</w:t>
      </w:r>
      <w:r w:rsidR="00F80968" w:rsidRPr="004D49FE">
        <w:rPr>
          <w:b/>
          <w:lang w:val="de-DE"/>
        </w:rPr>
        <w:t xml:space="preserve"> Jahre SE in Deutschland – Erreichter Stand, verbleibende Anwendungsprobleme, Perspektiven</w:t>
      </w:r>
      <w:r w:rsidR="00756CD2">
        <w:rPr>
          <w:lang w:val="de-DE"/>
        </w:rPr>
        <w:t>, ZHR Sonderheft Nr. </w:t>
      </w:r>
      <w:r w:rsidR="00A564FE">
        <w:rPr>
          <w:lang w:val="de-DE"/>
        </w:rPr>
        <w:t>77</w:t>
      </w:r>
      <w:r w:rsidR="00083C6A">
        <w:rPr>
          <w:lang w:val="de-DE"/>
        </w:rPr>
        <w:t>, 2015,</w:t>
      </w:r>
      <w:r w:rsidR="00F80968" w:rsidRPr="001B79C4">
        <w:rPr>
          <w:lang w:val="de-DE"/>
        </w:rPr>
        <w:t xml:space="preserve"> </w:t>
      </w:r>
      <w:r>
        <w:rPr>
          <w:lang w:val="de-DE"/>
        </w:rPr>
        <w:t>(</w:t>
      </w:r>
      <w:r w:rsidR="00F80968" w:rsidRPr="001B79C4">
        <w:rPr>
          <w:lang w:val="de-DE"/>
        </w:rPr>
        <w:t xml:space="preserve">zusammen mit </w:t>
      </w:r>
      <w:r w:rsidR="00F80968" w:rsidRPr="002271C5">
        <w:rPr>
          <w:i/>
          <w:lang w:val="de-DE"/>
        </w:rPr>
        <w:t>Bergmann</w:t>
      </w:r>
      <w:r w:rsidR="00F80968" w:rsidRPr="001B79C4">
        <w:rPr>
          <w:lang w:val="de-DE"/>
        </w:rPr>
        <w:t xml:space="preserve">, </w:t>
      </w:r>
      <w:r w:rsidR="00F80968" w:rsidRPr="002271C5">
        <w:rPr>
          <w:i/>
          <w:lang w:val="de-DE"/>
        </w:rPr>
        <w:t>Mülbert</w:t>
      </w:r>
      <w:r w:rsidR="00F80968" w:rsidRPr="001B79C4">
        <w:rPr>
          <w:lang w:val="de-DE"/>
        </w:rPr>
        <w:t xml:space="preserve">, </w:t>
      </w:r>
      <w:r w:rsidR="00F80968" w:rsidRPr="002271C5">
        <w:rPr>
          <w:i/>
          <w:lang w:val="de-DE"/>
        </w:rPr>
        <w:t>Ver</w:t>
      </w:r>
      <w:r w:rsidRPr="002271C5">
        <w:rPr>
          <w:i/>
          <w:lang w:val="de-DE"/>
        </w:rPr>
        <w:t>se</w:t>
      </w:r>
      <w:r>
        <w:rPr>
          <w:lang w:val="de-DE"/>
        </w:rPr>
        <w:t xml:space="preserve"> und </w:t>
      </w:r>
      <w:r w:rsidRPr="002271C5">
        <w:rPr>
          <w:i/>
          <w:lang w:val="de-DE"/>
        </w:rPr>
        <w:t>Wittig</w:t>
      </w:r>
      <w:r>
        <w:rPr>
          <w:lang w:val="de-DE"/>
        </w:rPr>
        <w:t>)</w:t>
      </w:r>
      <w:r w:rsidR="00083C6A">
        <w:rPr>
          <w:lang w:val="de-DE"/>
        </w:rPr>
        <w:t>.</w:t>
      </w:r>
      <w:r w:rsidR="00F80968" w:rsidRPr="001B79C4">
        <w:rPr>
          <w:lang w:val="de-DE"/>
        </w:rPr>
        <w:t xml:space="preserve"> </w:t>
      </w:r>
    </w:p>
    <w:p w14:paraId="39537F66" w14:textId="77777777" w:rsidR="00DE5EDB" w:rsidRPr="004D49FE" w:rsidRDefault="00DE5EDB">
      <w:pPr>
        <w:pStyle w:val="Heading1"/>
        <w:rPr>
          <w:u w:val="single"/>
        </w:rPr>
      </w:pPr>
      <w:r w:rsidRPr="004D49FE">
        <w:rPr>
          <w:u w:val="single"/>
        </w:rPr>
        <w:t>Aufsätze in Zeitschriften</w:t>
      </w:r>
      <w:r w:rsidR="00F23045">
        <w:rPr>
          <w:u w:val="single"/>
        </w:rPr>
        <w:br/>
      </w:r>
    </w:p>
    <w:p w14:paraId="534B3662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F23045">
        <w:rPr>
          <w:b/>
          <w:lang w:val="de-DE"/>
        </w:rPr>
        <w:t>Das neue Umwandlungsrecht und die Vermeidung „räuberischer“ Anfechtungsklagen</w:t>
      </w:r>
      <w:r w:rsidR="00973371">
        <w:rPr>
          <w:lang w:val="de-DE"/>
        </w:rPr>
        <w:t xml:space="preserve">, </w:t>
      </w:r>
      <w:r w:rsidR="00DE5EDB" w:rsidRPr="001B79C4">
        <w:rPr>
          <w:lang w:val="de-DE"/>
        </w:rPr>
        <w:t>AG 1992</w:t>
      </w:r>
      <w:r w:rsidR="00F23045">
        <w:rPr>
          <w:lang w:val="de-DE"/>
        </w:rPr>
        <w:t>, S. 430</w:t>
      </w:r>
      <w:r w:rsidR="00916EC2">
        <w:rPr>
          <w:lang w:val="de-DE"/>
        </w:rPr>
        <w:t xml:space="preserve"> ff</w:t>
      </w:r>
      <w:r w:rsidR="00DE5EDB" w:rsidRPr="001B79C4">
        <w:rPr>
          <w:lang w:val="de-DE"/>
        </w:rPr>
        <w:t xml:space="preserve">. </w:t>
      </w:r>
    </w:p>
    <w:p w14:paraId="07722EA3" w14:textId="77777777" w:rsidR="00DE5EDB" w:rsidRPr="006B068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lastRenderedPageBreak/>
        <w:tab/>
      </w:r>
      <w:r w:rsidR="00DE5EDB" w:rsidRPr="00F23045">
        <w:rPr>
          <w:b/>
          <w:lang w:val="de-DE"/>
        </w:rPr>
        <w:t>Die Ausgliederung zwischen „Holzmüller“ und neuem Umwandlungsrecht</w:t>
      </w:r>
      <w:r w:rsidR="00DE5EDB" w:rsidRPr="001B79C4">
        <w:rPr>
          <w:lang w:val="de-DE"/>
        </w:rPr>
        <w:t>, ZIP 1994,</w:t>
      </w:r>
      <w:r w:rsidR="00F23045">
        <w:rPr>
          <w:lang w:val="de-DE"/>
        </w:rPr>
        <w:t xml:space="preserve"> </w:t>
      </w:r>
      <w:r w:rsidR="00B1545B">
        <w:rPr>
          <w:lang w:val="de-DE"/>
        </w:rPr>
        <w:t>S.</w:t>
      </w:r>
      <w:r w:rsidR="00973371">
        <w:rPr>
          <w:lang w:val="de-DE"/>
        </w:rPr>
        <w:t> </w:t>
      </w:r>
      <w:r w:rsidR="00DE5EDB" w:rsidRPr="001B79C4">
        <w:rPr>
          <w:lang w:val="de-DE"/>
        </w:rPr>
        <w:t>1078 ff.</w:t>
      </w:r>
      <w:r w:rsidR="00083C6A">
        <w:rPr>
          <w:lang w:val="de-DE"/>
        </w:rPr>
        <w:t>,</w:t>
      </w:r>
      <w:r w:rsidR="00DE5EDB" w:rsidRPr="001B79C4">
        <w:rPr>
          <w:lang w:val="de-DE"/>
        </w:rPr>
        <w:t xml:space="preserve"> </w:t>
      </w:r>
      <w:r w:rsidR="00DE5EDB" w:rsidRPr="006B0684">
        <w:rPr>
          <w:lang w:val="de-DE"/>
        </w:rPr>
        <w:t xml:space="preserve">(zusammen mit </w:t>
      </w:r>
      <w:r w:rsidR="00DE5EDB" w:rsidRPr="002271C5">
        <w:rPr>
          <w:i/>
          <w:lang w:val="de-DE"/>
        </w:rPr>
        <w:t>Feddersen</w:t>
      </w:r>
      <w:r w:rsidR="00DE5EDB" w:rsidRPr="006B0684">
        <w:rPr>
          <w:lang w:val="de-DE"/>
        </w:rPr>
        <w:t xml:space="preserve">). </w:t>
      </w:r>
    </w:p>
    <w:p w14:paraId="4273DF4F" w14:textId="77777777" w:rsidR="00DE5EDB" w:rsidRPr="006B068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F23045">
        <w:rPr>
          <w:b/>
          <w:lang w:val="de-DE"/>
        </w:rPr>
        <w:t>Steuerliche Gestaltungsprobleme bei der Vererbung von Anteilen an Personengesell</w:t>
      </w:r>
      <w:r w:rsidR="00F23045" w:rsidRPr="00F23045">
        <w:rPr>
          <w:b/>
          <w:lang w:val="de-DE"/>
        </w:rPr>
        <w:t>schaften</w:t>
      </w:r>
      <w:r w:rsidR="00F23045">
        <w:rPr>
          <w:lang w:val="de-DE"/>
        </w:rPr>
        <w:t>, ZHR 159</w:t>
      </w:r>
      <w:r w:rsidR="00083C6A">
        <w:rPr>
          <w:lang w:val="de-DE"/>
        </w:rPr>
        <w:t xml:space="preserve"> (</w:t>
      </w:r>
      <w:r w:rsidR="00F23045">
        <w:rPr>
          <w:lang w:val="de-DE"/>
        </w:rPr>
        <w:t>1995</w:t>
      </w:r>
      <w:r w:rsidR="00083C6A">
        <w:rPr>
          <w:lang w:val="de-DE"/>
        </w:rPr>
        <w:t>)</w:t>
      </w:r>
      <w:r w:rsidR="00F23045">
        <w:rPr>
          <w:lang w:val="de-DE"/>
        </w:rPr>
        <w:t xml:space="preserve">, </w:t>
      </w:r>
      <w:r w:rsidR="00B1545B">
        <w:rPr>
          <w:lang w:val="de-DE"/>
        </w:rPr>
        <w:t xml:space="preserve">S. </w:t>
      </w:r>
      <w:r w:rsidR="00DE5EDB" w:rsidRPr="001B79C4">
        <w:rPr>
          <w:lang w:val="de-DE"/>
        </w:rPr>
        <w:t>479 ff.</w:t>
      </w:r>
      <w:r w:rsidR="00083C6A">
        <w:rPr>
          <w:lang w:val="de-DE"/>
        </w:rPr>
        <w:t>,</w:t>
      </w:r>
      <w:r w:rsidR="00DE5EDB" w:rsidRPr="001B79C4">
        <w:rPr>
          <w:lang w:val="de-DE"/>
        </w:rPr>
        <w:t xml:space="preserve"> </w:t>
      </w:r>
      <w:r w:rsidR="00DE5EDB" w:rsidRPr="006B0684">
        <w:rPr>
          <w:lang w:val="de-DE"/>
        </w:rPr>
        <w:t xml:space="preserve">(zusammen mit </w:t>
      </w:r>
      <w:r w:rsidR="00DE5EDB" w:rsidRPr="002271C5">
        <w:rPr>
          <w:i/>
          <w:lang w:val="de-DE"/>
        </w:rPr>
        <w:t>Feddersen</w:t>
      </w:r>
      <w:r w:rsidR="00DE5EDB" w:rsidRPr="006B0684">
        <w:rPr>
          <w:lang w:val="de-DE"/>
        </w:rPr>
        <w:t xml:space="preserve">). </w:t>
      </w:r>
    </w:p>
    <w:p w14:paraId="724AA719" w14:textId="77777777" w:rsidR="00DE5EDB" w:rsidRPr="006B068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742893">
        <w:rPr>
          <w:b/>
          <w:lang w:val="de-DE"/>
        </w:rPr>
        <w:t>Ad hoc-Publizität und mehrstufige Entscheidungsprozesse</w:t>
      </w:r>
      <w:r w:rsidR="00DE5EDB" w:rsidRPr="001B79C4">
        <w:rPr>
          <w:lang w:val="de-DE"/>
        </w:rPr>
        <w:t>, DB 1995,</w:t>
      </w:r>
      <w:r w:rsidR="00083C6A">
        <w:rPr>
          <w:lang w:val="de-DE"/>
        </w:rPr>
        <w:t xml:space="preserve"> </w:t>
      </w:r>
      <w:r w:rsidR="00B1545B">
        <w:rPr>
          <w:lang w:val="de-DE"/>
        </w:rPr>
        <w:t>S. </w:t>
      </w:r>
      <w:r w:rsidR="00742893">
        <w:rPr>
          <w:lang w:val="de-DE"/>
        </w:rPr>
        <w:t>1999 </w:t>
      </w:r>
      <w:r w:rsidR="00DE5EDB" w:rsidRPr="001B79C4">
        <w:rPr>
          <w:lang w:val="de-DE"/>
        </w:rPr>
        <w:t>ff.</w:t>
      </w:r>
      <w:r w:rsidR="00083C6A">
        <w:rPr>
          <w:lang w:val="de-DE"/>
        </w:rPr>
        <w:t>,</w:t>
      </w:r>
      <w:r w:rsidR="00DE5EDB" w:rsidRPr="001B79C4">
        <w:rPr>
          <w:lang w:val="de-DE"/>
        </w:rPr>
        <w:t xml:space="preserve"> </w:t>
      </w:r>
      <w:r w:rsidR="00DE5EDB" w:rsidRPr="006B0684">
        <w:rPr>
          <w:lang w:val="de-DE"/>
        </w:rPr>
        <w:t xml:space="preserve">(zusammen mit </w:t>
      </w:r>
      <w:r w:rsidR="00DE5EDB" w:rsidRPr="002271C5">
        <w:rPr>
          <w:i/>
          <w:lang w:val="de-DE"/>
        </w:rPr>
        <w:t>Kotthoff</w:t>
      </w:r>
      <w:r w:rsidR="00DE5EDB" w:rsidRPr="006B0684">
        <w:rPr>
          <w:lang w:val="de-DE"/>
        </w:rPr>
        <w:t xml:space="preserve">). </w:t>
      </w:r>
    </w:p>
    <w:p w14:paraId="34F95C46" w14:textId="77777777" w:rsidR="00DE5EDB" w:rsidRPr="00B206B6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</w:pPr>
      <w:r w:rsidRPr="00083C6A">
        <w:rPr>
          <w:lang w:val="de-DE"/>
        </w:rPr>
        <w:tab/>
      </w:r>
      <w:r w:rsidR="00B206B6" w:rsidRPr="00B206B6">
        <w:rPr>
          <w:b/>
        </w:rPr>
        <w:t>M&amp;</w:t>
      </w:r>
      <w:r w:rsidR="00DE5EDB" w:rsidRPr="00B206B6">
        <w:rPr>
          <w:b/>
        </w:rPr>
        <w:t>A-Praxis und neues Insiderrecht</w:t>
      </w:r>
      <w:r w:rsidR="00A9448B" w:rsidRPr="00B206B6">
        <w:t>, M&amp;</w:t>
      </w:r>
      <w:r w:rsidR="00DE5EDB" w:rsidRPr="00B206B6">
        <w:t>A Review 1996,</w:t>
      </w:r>
      <w:r w:rsidR="00742893" w:rsidRPr="00B206B6">
        <w:t xml:space="preserve"> </w:t>
      </w:r>
      <w:r w:rsidR="00B1545B" w:rsidRPr="00B206B6">
        <w:t xml:space="preserve">S. </w:t>
      </w:r>
      <w:r w:rsidR="00DE5EDB" w:rsidRPr="00B206B6">
        <w:t xml:space="preserve">425 ff. </w:t>
      </w:r>
    </w:p>
    <w:p w14:paraId="5D55BC60" w14:textId="77777777" w:rsidR="00DE5EDB" w:rsidRPr="006B068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B206B6">
        <w:tab/>
      </w:r>
      <w:r w:rsidR="00DE5EDB" w:rsidRPr="00742893">
        <w:rPr>
          <w:b/>
          <w:lang w:val="de-DE"/>
        </w:rPr>
        <w:t>Der Formwechsel einer Publikumsaktiengesellschaft – Erste Erfahrungen aus der Praxis</w:t>
      </w:r>
      <w:r w:rsidR="00742893">
        <w:rPr>
          <w:lang w:val="de-DE"/>
        </w:rPr>
        <w:t>,</w:t>
      </w:r>
      <w:r w:rsidR="00F733C5">
        <w:rPr>
          <w:lang w:val="de-DE"/>
        </w:rPr>
        <w:t xml:space="preserve"> </w:t>
      </w:r>
      <w:r w:rsidR="00742893">
        <w:rPr>
          <w:lang w:val="de-DE"/>
        </w:rPr>
        <w:t xml:space="preserve">WM 1997, </w:t>
      </w:r>
      <w:r w:rsidR="00B1545B">
        <w:rPr>
          <w:lang w:val="de-DE"/>
        </w:rPr>
        <w:t xml:space="preserve">S. </w:t>
      </w:r>
      <w:r w:rsidR="00742893">
        <w:rPr>
          <w:lang w:val="de-DE"/>
        </w:rPr>
        <w:t>1361 ff./</w:t>
      </w:r>
      <w:r w:rsidR="00B1545B">
        <w:rPr>
          <w:lang w:val="de-DE"/>
        </w:rPr>
        <w:t xml:space="preserve">S. </w:t>
      </w:r>
      <w:r w:rsidR="00DE5EDB" w:rsidRPr="001B79C4">
        <w:rPr>
          <w:lang w:val="de-DE"/>
        </w:rPr>
        <w:t>1413 ff.</w:t>
      </w:r>
      <w:r w:rsidR="00083C6A">
        <w:rPr>
          <w:lang w:val="de-DE"/>
        </w:rPr>
        <w:t>,</w:t>
      </w:r>
      <w:r w:rsidR="00DE5EDB" w:rsidRPr="001B79C4">
        <w:rPr>
          <w:lang w:val="de-DE"/>
        </w:rPr>
        <w:t xml:space="preserve"> </w:t>
      </w:r>
      <w:r w:rsidR="00DE5EDB" w:rsidRPr="006B0684">
        <w:rPr>
          <w:lang w:val="de-DE"/>
        </w:rPr>
        <w:t xml:space="preserve">(zusammen mit </w:t>
      </w:r>
      <w:r w:rsidR="00DE5EDB" w:rsidRPr="002271C5">
        <w:rPr>
          <w:i/>
          <w:lang w:val="de-DE"/>
        </w:rPr>
        <w:t>Meyer-Landrut</w:t>
      </w:r>
      <w:r w:rsidR="00DE5EDB" w:rsidRPr="006B0684">
        <w:rPr>
          <w:lang w:val="de-DE"/>
        </w:rPr>
        <w:t>).</w:t>
      </w:r>
    </w:p>
    <w:p w14:paraId="3D288BA3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524F6D">
        <w:rPr>
          <w:b/>
          <w:lang w:val="de-DE"/>
        </w:rPr>
        <w:t>Die Stellung der Vorzugsaktionäre bei Umwandlungsmaßnahmen</w:t>
      </w:r>
      <w:r w:rsidR="00DE5EDB" w:rsidRPr="001B79C4">
        <w:rPr>
          <w:lang w:val="de-DE"/>
        </w:rPr>
        <w:t>, ZIP 1997,</w:t>
      </w:r>
      <w:r w:rsidR="00524F6D">
        <w:rPr>
          <w:lang w:val="de-DE"/>
        </w:rPr>
        <w:t xml:space="preserve"> </w:t>
      </w:r>
      <w:r w:rsidR="00034E77">
        <w:rPr>
          <w:lang w:val="de-DE"/>
        </w:rPr>
        <w:t>S. </w:t>
      </w:r>
      <w:r w:rsidR="00DE5EDB" w:rsidRPr="001B79C4">
        <w:rPr>
          <w:lang w:val="de-DE"/>
        </w:rPr>
        <w:t xml:space="preserve">1627 ff. </w:t>
      </w:r>
    </w:p>
    <w:p w14:paraId="5781C11C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524F6D">
        <w:rPr>
          <w:b/>
          <w:lang w:val="de-DE"/>
        </w:rPr>
        <w:t>Die schwebende Umwandlung</w:t>
      </w:r>
      <w:r w:rsidR="00DE5EDB" w:rsidRPr="001B79C4">
        <w:rPr>
          <w:lang w:val="de-DE"/>
        </w:rPr>
        <w:t>, ZIP 1999,</w:t>
      </w:r>
      <w:r w:rsidR="00524F6D">
        <w:rPr>
          <w:lang w:val="de-DE"/>
        </w:rPr>
        <w:t xml:space="preserve"> </w:t>
      </w:r>
      <w:r w:rsidR="00C3358C">
        <w:rPr>
          <w:lang w:val="de-DE"/>
        </w:rPr>
        <w:t>S. </w:t>
      </w:r>
      <w:r w:rsidR="00DE5EDB" w:rsidRPr="001B79C4">
        <w:rPr>
          <w:lang w:val="de-DE"/>
        </w:rPr>
        <w:t xml:space="preserve">173 ff. </w:t>
      </w:r>
    </w:p>
    <w:p w14:paraId="27DA214C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524F6D">
        <w:rPr>
          <w:b/>
          <w:lang w:val="de-DE"/>
        </w:rPr>
        <w:t>Erwerb eigener Aktien bei der kleinen AG</w:t>
      </w:r>
      <w:r w:rsidR="00DE5EDB" w:rsidRPr="001B79C4">
        <w:rPr>
          <w:lang w:val="de-DE"/>
        </w:rPr>
        <w:t>, ZIP 2000,</w:t>
      </w:r>
      <w:r w:rsidR="00524F6D">
        <w:rPr>
          <w:lang w:val="de-DE"/>
        </w:rPr>
        <w:t xml:space="preserve"> </w:t>
      </w:r>
      <w:r w:rsidR="00B1545B">
        <w:rPr>
          <w:lang w:val="de-DE"/>
        </w:rPr>
        <w:t xml:space="preserve">S. </w:t>
      </w:r>
      <w:r w:rsidR="00DE5EDB" w:rsidRPr="001B79C4">
        <w:rPr>
          <w:lang w:val="de-DE"/>
        </w:rPr>
        <w:t xml:space="preserve">66 ff. </w:t>
      </w:r>
    </w:p>
    <w:p w14:paraId="763C1714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0238C5">
        <w:rPr>
          <w:b/>
          <w:lang w:val="de-DE"/>
        </w:rPr>
        <w:t>Der Hauptversammlungsentscheid zur Legitimation von Abwehrmaßnahmen nach dem neuen Übernahmegesetz</w:t>
      </w:r>
      <w:r w:rsidR="00DE5EDB" w:rsidRPr="001B79C4">
        <w:rPr>
          <w:lang w:val="de-DE"/>
        </w:rPr>
        <w:t>, ZIP 2000,</w:t>
      </w:r>
      <w:r w:rsidR="007E5286" w:rsidRPr="007E5286">
        <w:rPr>
          <w:lang w:val="de-DE"/>
        </w:rPr>
        <w:t xml:space="preserve"> </w:t>
      </w:r>
      <w:r w:rsidR="00B1545B">
        <w:rPr>
          <w:lang w:val="de-DE"/>
        </w:rPr>
        <w:t xml:space="preserve">S. </w:t>
      </w:r>
      <w:r w:rsidR="00DE5EDB" w:rsidRPr="001B79C4">
        <w:rPr>
          <w:lang w:val="de-DE"/>
        </w:rPr>
        <w:t xml:space="preserve">1509 ff. </w:t>
      </w:r>
    </w:p>
    <w:p w14:paraId="7A4E5C7D" w14:textId="77777777" w:rsidR="00DE5EDB" w:rsidRPr="006B068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0238C5">
        <w:rPr>
          <w:b/>
          <w:lang w:val="de-DE"/>
        </w:rPr>
        <w:t>Der umwandlungsbedingte Wechsel des Mitbestimmungsstatuts – Am Beispiel der Verschmelzung durch Aufnahme zwischen Aktiengesellschaften</w:t>
      </w:r>
      <w:r w:rsidR="00DE5EDB" w:rsidRPr="001B79C4">
        <w:rPr>
          <w:lang w:val="de-DE"/>
        </w:rPr>
        <w:t>, NZG 2001,</w:t>
      </w:r>
      <w:r w:rsidR="000238C5" w:rsidRPr="00B206B6">
        <w:rPr>
          <w:lang w:val="de-DE"/>
        </w:rPr>
        <w:t xml:space="preserve"> </w:t>
      </w:r>
      <w:r w:rsidR="00B1545B">
        <w:rPr>
          <w:lang w:val="de-DE"/>
        </w:rPr>
        <w:t>S. </w:t>
      </w:r>
      <w:r w:rsidR="000238C5">
        <w:rPr>
          <w:lang w:val="de-DE"/>
        </w:rPr>
        <w:t>680 </w:t>
      </w:r>
      <w:r w:rsidR="00DE5EDB" w:rsidRPr="001B79C4">
        <w:rPr>
          <w:lang w:val="de-DE"/>
        </w:rPr>
        <w:t>ff.</w:t>
      </w:r>
      <w:r w:rsidR="00083C6A">
        <w:rPr>
          <w:lang w:val="de-DE"/>
        </w:rPr>
        <w:t>,</w:t>
      </w:r>
      <w:r w:rsidR="00DE5EDB" w:rsidRPr="001B79C4">
        <w:rPr>
          <w:lang w:val="de-DE"/>
        </w:rPr>
        <w:t xml:space="preserve"> </w:t>
      </w:r>
      <w:r w:rsidR="00DE5EDB" w:rsidRPr="006B0684">
        <w:rPr>
          <w:lang w:val="de-DE"/>
        </w:rPr>
        <w:t xml:space="preserve">(zusammen mit </w:t>
      </w:r>
      <w:r w:rsidR="00DE5EDB" w:rsidRPr="002271C5">
        <w:rPr>
          <w:i/>
          <w:lang w:val="de-DE"/>
        </w:rPr>
        <w:t>Uhrig</w:t>
      </w:r>
      <w:r w:rsidR="00DE5EDB" w:rsidRPr="006B0684">
        <w:rPr>
          <w:lang w:val="de-DE"/>
        </w:rPr>
        <w:t>).</w:t>
      </w:r>
    </w:p>
    <w:p w14:paraId="2B3F1BED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B1545B">
        <w:rPr>
          <w:b/>
          <w:lang w:val="de-DE"/>
        </w:rPr>
        <w:t>Die kleine Aktiengesellschaft – Ein Rückblick nach zehn Jahren</w:t>
      </w:r>
      <w:r w:rsidR="00DE5EDB" w:rsidRPr="001B79C4">
        <w:rPr>
          <w:lang w:val="de-DE"/>
        </w:rPr>
        <w:t>, Der Aufsichtsrat 2005,</w:t>
      </w:r>
      <w:r w:rsidR="00B1545B">
        <w:rPr>
          <w:lang w:val="de-DE"/>
        </w:rPr>
        <w:t xml:space="preserve"> S.</w:t>
      </w:r>
      <w:r w:rsidR="00C3358C">
        <w:rPr>
          <w:lang w:val="de-DE"/>
        </w:rPr>
        <w:t> </w:t>
      </w:r>
      <w:r w:rsidR="00DE5EDB" w:rsidRPr="001B79C4">
        <w:rPr>
          <w:lang w:val="de-DE"/>
        </w:rPr>
        <w:t xml:space="preserve">5 ff. </w:t>
      </w:r>
    </w:p>
    <w:p w14:paraId="2F1F17F5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B1545B">
        <w:rPr>
          <w:b/>
          <w:lang w:val="de-DE"/>
        </w:rPr>
        <w:t>Die Regelung der grenzüberschreitenden Verschmelzung im deutschen Umwandlungsgesetz</w:t>
      </w:r>
      <w:r w:rsidR="00DE5EDB" w:rsidRPr="001B79C4">
        <w:rPr>
          <w:lang w:val="de-DE"/>
        </w:rPr>
        <w:t>, WM 2006,</w:t>
      </w:r>
      <w:r w:rsidR="00C3358C">
        <w:rPr>
          <w:lang w:val="de-DE"/>
        </w:rPr>
        <w:t xml:space="preserve"> S. </w:t>
      </w:r>
      <w:r w:rsidR="00DE5EDB" w:rsidRPr="001B79C4">
        <w:rPr>
          <w:lang w:val="de-DE"/>
        </w:rPr>
        <w:t xml:space="preserve">1091 ff. </w:t>
      </w:r>
    </w:p>
    <w:p w14:paraId="56E6E912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B1545B">
        <w:rPr>
          <w:b/>
          <w:lang w:val="de-DE"/>
        </w:rPr>
        <w:t>Das Beurkundungserfordernis beim Unternehmenskauf im Wege des Asset Deals – Zur Anwendung des § 311 b Abs. 3 BGB auf Gesamtvermögensübertragungsvorgänge juristischer Personen</w:t>
      </w:r>
      <w:r w:rsidR="00DE5EDB" w:rsidRPr="001B79C4">
        <w:rPr>
          <w:lang w:val="de-DE"/>
        </w:rPr>
        <w:t>, NJW 2006,</w:t>
      </w:r>
      <w:r w:rsidR="00B1545B">
        <w:rPr>
          <w:lang w:val="de-DE"/>
        </w:rPr>
        <w:t xml:space="preserve"> S. </w:t>
      </w:r>
      <w:r w:rsidR="00DE5EDB" w:rsidRPr="001B79C4">
        <w:rPr>
          <w:lang w:val="de-DE"/>
        </w:rPr>
        <w:t xml:space="preserve">2363 ff. </w:t>
      </w:r>
    </w:p>
    <w:p w14:paraId="738833EC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B1545B">
        <w:rPr>
          <w:b/>
          <w:lang w:val="de-DE"/>
        </w:rPr>
        <w:t>Die Ermittlung der Verschmelzungswertrelation bei der grenzüberschreitenden Verschmelzung</w:t>
      </w:r>
      <w:r w:rsidR="00DE5EDB" w:rsidRPr="001B79C4">
        <w:rPr>
          <w:lang w:val="de-DE"/>
        </w:rPr>
        <w:t>, ZGR 2007,</w:t>
      </w:r>
      <w:r w:rsidR="00B1545B">
        <w:rPr>
          <w:lang w:val="de-DE"/>
        </w:rPr>
        <w:t xml:space="preserve"> S. </w:t>
      </w:r>
      <w:r w:rsidR="00DE5EDB" w:rsidRPr="001B79C4">
        <w:rPr>
          <w:lang w:val="de-DE"/>
        </w:rPr>
        <w:t>542 ff.</w:t>
      </w:r>
    </w:p>
    <w:p w14:paraId="4B3CE383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lastRenderedPageBreak/>
        <w:tab/>
      </w:r>
      <w:r w:rsidR="00DE5EDB" w:rsidRPr="00B1545B">
        <w:rPr>
          <w:b/>
          <w:lang w:val="de-DE"/>
        </w:rPr>
        <w:t>Vereinbarte Mitbestimmung und Verhandlungsmandat der Unternehmensleitung – Ein Beitrag zur mitbestimmungsrechtlichen Verhandlungslösung und guter Corporate Governance</w:t>
      </w:r>
      <w:r w:rsidR="00DE5EDB" w:rsidRPr="001B79C4">
        <w:rPr>
          <w:lang w:val="de-DE"/>
        </w:rPr>
        <w:t>, ZHR 171</w:t>
      </w:r>
      <w:r w:rsidR="00083C6A">
        <w:rPr>
          <w:lang w:val="de-DE"/>
        </w:rPr>
        <w:t xml:space="preserve"> (</w:t>
      </w:r>
      <w:r w:rsidR="00B1545B">
        <w:rPr>
          <w:lang w:val="de-DE"/>
        </w:rPr>
        <w:t>2007</w:t>
      </w:r>
      <w:r w:rsidR="00083C6A">
        <w:rPr>
          <w:lang w:val="de-DE"/>
        </w:rPr>
        <w:t>)</w:t>
      </w:r>
      <w:r w:rsidR="00DE5EDB" w:rsidRPr="001B79C4">
        <w:rPr>
          <w:lang w:val="de-DE"/>
        </w:rPr>
        <w:t xml:space="preserve">, </w:t>
      </w:r>
      <w:r w:rsidR="00BA2D53">
        <w:rPr>
          <w:lang w:val="de-DE"/>
        </w:rPr>
        <w:t>S. 713 </w:t>
      </w:r>
      <w:r w:rsidR="00DE5EDB" w:rsidRPr="001B79C4">
        <w:rPr>
          <w:lang w:val="de-DE"/>
        </w:rPr>
        <w:t>ff.</w:t>
      </w:r>
    </w:p>
    <w:p w14:paraId="79F0FF50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B1545B">
        <w:rPr>
          <w:b/>
          <w:lang w:val="de-DE"/>
        </w:rPr>
        <w:t>Vorschlag zur Neufassung der Vorschriften des Aktiengesetzes über Beschlussmängel</w:t>
      </w:r>
      <w:r w:rsidR="00DE5EDB" w:rsidRPr="001B79C4">
        <w:rPr>
          <w:lang w:val="de-DE"/>
        </w:rPr>
        <w:t>, AG 2008,</w:t>
      </w:r>
      <w:r w:rsidR="00C3358C">
        <w:rPr>
          <w:lang w:val="de-DE"/>
        </w:rPr>
        <w:t xml:space="preserve"> S. </w:t>
      </w:r>
      <w:r w:rsidR="00B1545B">
        <w:rPr>
          <w:lang w:val="de-DE"/>
        </w:rPr>
        <w:t>617 ff. (z</w:t>
      </w:r>
      <w:r w:rsidR="00DE5EDB" w:rsidRPr="001B79C4">
        <w:rPr>
          <w:lang w:val="de-DE"/>
        </w:rPr>
        <w:t xml:space="preserve">usammen mit </w:t>
      </w:r>
      <w:r w:rsidR="00DE5EDB" w:rsidRPr="002271C5">
        <w:rPr>
          <w:i/>
          <w:lang w:val="de-DE"/>
        </w:rPr>
        <w:t>Butzke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Habersack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Hemeling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Mülbert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Noack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C. Schäfer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Stilz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J. Vetter</w:t>
      </w:r>
      <w:r w:rsidR="00DE5EDB" w:rsidRPr="001B79C4">
        <w:rPr>
          <w:lang w:val="de-DE"/>
        </w:rPr>
        <w:t>)</w:t>
      </w:r>
      <w:r w:rsidR="00083C6A">
        <w:rPr>
          <w:lang w:val="de-DE"/>
        </w:rPr>
        <w:t>.</w:t>
      </w:r>
    </w:p>
    <w:p w14:paraId="2D7FA164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141168">
        <w:rPr>
          <w:b/>
          <w:lang w:val="de-DE"/>
        </w:rPr>
        <w:t>Arbeitskreis Aktien- und Kapitalmarktrecht: Die 8 wichtigsten Änderungsvorschläge zur SE-VO</w:t>
      </w:r>
      <w:r w:rsidR="00DE5EDB" w:rsidRPr="001B79C4">
        <w:rPr>
          <w:lang w:val="de-DE"/>
        </w:rPr>
        <w:t>, ZIP 2009,</w:t>
      </w:r>
      <w:r w:rsidR="00141168">
        <w:rPr>
          <w:lang w:val="de-DE"/>
        </w:rPr>
        <w:t xml:space="preserve"> S. </w:t>
      </w:r>
      <w:r w:rsidR="00DE5EDB" w:rsidRPr="001B79C4">
        <w:rPr>
          <w:lang w:val="de-DE"/>
        </w:rPr>
        <w:t>698 f</w:t>
      </w:r>
      <w:r w:rsidR="00141168">
        <w:rPr>
          <w:lang w:val="de-DE"/>
        </w:rPr>
        <w:t>f</w:t>
      </w:r>
      <w:r w:rsidR="00DE5EDB" w:rsidRPr="001B79C4">
        <w:rPr>
          <w:lang w:val="de-DE"/>
        </w:rPr>
        <w:t xml:space="preserve">. (zusammen mit </w:t>
      </w:r>
      <w:r w:rsidR="00DE5EDB" w:rsidRPr="002271C5">
        <w:rPr>
          <w:i/>
          <w:lang w:val="de-DE"/>
        </w:rPr>
        <w:t>Bachmann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Bücker</w:t>
      </w:r>
      <w:r w:rsidR="00DE5EDB" w:rsidRPr="001B79C4">
        <w:rPr>
          <w:lang w:val="de-DE"/>
        </w:rPr>
        <w:t xml:space="preserve">, </w:t>
      </w:r>
      <w:r w:rsidR="00DE5EDB" w:rsidRPr="00BB0363">
        <w:rPr>
          <w:i/>
          <w:lang w:val="de-DE"/>
        </w:rPr>
        <w:t>Casper</w:t>
      </w:r>
      <w:r w:rsidR="00DE5EDB" w:rsidRPr="00BB0363">
        <w:rPr>
          <w:lang w:val="de-DE"/>
        </w:rPr>
        <w:t xml:space="preserve">, </w:t>
      </w:r>
      <w:r w:rsidR="00DE5EDB" w:rsidRPr="00BB0363">
        <w:rPr>
          <w:i/>
          <w:lang w:val="de-DE"/>
        </w:rPr>
        <w:t>Ihrig</w:t>
      </w:r>
      <w:r w:rsidR="00DE5EDB" w:rsidRPr="00BB0363">
        <w:rPr>
          <w:lang w:val="de-DE"/>
        </w:rPr>
        <w:t xml:space="preserve">, </w:t>
      </w:r>
      <w:r w:rsidR="00DE5EDB" w:rsidRPr="00BB0363">
        <w:rPr>
          <w:i/>
          <w:lang w:val="de-DE"/>
        </w:rPr>
        <w:t>Jannott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C.</w:t>
      </w:r>
      <w:r w:rsidR="00DE5EDB" w:rsidRPr="001B79C4">
        <w:rPr>
          <w:lang w:val="de-DE"/>
        </w:rPr>
        <w:t xml:space="preserve"> </w:t>
      </w:r>
      <w:r w:rsidR="00DE5EDB" w:rsidRPr="002271C5">
        <w:rPr>
          <w:i/>
          <w:lang w:val="de-DE"/>
        </w:rPr>
        <w:t>Schäfer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Seibt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Schiessl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Teichmann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Veil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Weller</w:t>
      </w:r>
      <w:r w:rsidR="00DE5EDB" w:rsidRPr="001B79C4">
        <w:rPr>
          <w:lang w:val="de-DE"/>
        </w:rPr>
        <w:t>)</w:t>
      </w:r>
      <w:r w:rsidR="00083C6A">
        <w:rPr>
          <w:lang w:val="de-DE"/>
        </w:rPr>
        <w:t>.</w:t>
      </w:r>
    </w:p>
    <w:p w14:paraId="145F4097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141168">
        <w:rPr>
          <w:b/>
          <w:lang w:val="de-DE"/>
        </w:rPr>
        <w:t>Erfahrungen und Reformbedarf bei der SE – Entwicklungsstand</w:t>
      </w:r>
      <w:r w:rsidR="00DE5EDB" w:rsidRPr="001B79C4">
        <w:rPr>
          <w:lang w:val="de-DE"/>
        </w:rPr>
        <w:t>, ZHR 173</w:t>
      </w:r>
      <w:r w:rsidR="00AA31C0">
        <w:rPr>
          <w:lang w:val="de-DE"/>
        </w:rPr>
        <w:t xml:space="preserve"> (</w:t>
      </w:r>
      <w:r w:rsidR="00141168">
        <w:rPr>
          <w:lang w:val="de-DE"/>
        </w:rPr>
        <w:t>2009</w:t>
      </w:r>
      <w:r w:rsidR="00AA31C0">
        <w:rPr>
          <w:lang w:val="de-DE"/>
        </w:rPr>
        <w:t>)</w:t>
      </w:r>
      <w:r w:rsidR="00DE5EDB" w:rsidRPr="001B79C4">
        <w:rPr>
          <w:lang w:val="de-DE"/>
        </w:rPr>
        <w:t xml:space="preserve">, </w:t>
      </w:r>
      <w:r w:rsidR="00083C6A">
        <w:rPr>
          <w:lang w:val="de-DE"/>
        </w:rPr>
        <w:t>S. </w:t>
      </w:r>
      <w:r w:rsidR="00DE5EDB" w:rsidRPr="001B79C4">
        <w:rPr>
          <w:lang w:val="de-DE"/>
        </w:rPr>
        <w:t>156 ff.</w:t>
      </w:r>
    </w:p>
    <w:p w14:paraId="253D8A5E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141168">
        <w:rPr>
          <w:b/>
          <w:lang w:val="de-DE"/>
        </w:rPr>
        <w:t>Investorenvereinbarungen im Lichte des Aktien- und Übernahmerechts</w:t>
      </w:r>
      <w:r w:rsidR="00DE5EDB" w:rsidRPr="001B79C4">
        <w:rPr>
          <w:lang w:val="de-DE"/>
        </w:rPr>
        <w:t>, AG  2009,</w:t>
      </w:r>
      <w:r w:rsidR="00A10FC4">
        <w:rPr>
          <w:lang w:val="de-DE"/>
        </w:rPr>
        <w:t xml:space="preserve"> </w:t>
      </w:r>
      <w:r w:rsidR="00141168">
        <w:rPr>
          <w:lang w:val="de-DE"/>
        </w:rPr>
        <w:t>S. </w:t>
      </w:r>
      <w:r w:rsidR="00DE5EDB" w:rsidRPr="001B79C4">
        <w:rPr>
          <w:lang w:val="de-DE"/>
        </w:rPr>
        <w:t>301 ff.</w:t>
      </w:r>
    </w:p>
    <w:p w14:paraId="44F203C0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A47336">
        <w:rPr>
          <w:b/>
        </w:rPr>
        <w:t>The Eight Most Important Recommendations for Modification of the SE Regulation</w:t>
      </w:r>
      <w:r w:rsidR="00DE5EDB" w:rsidRPr="00A47336">
        <w:t>, EBOR 2009,</w:t>
      </w:r>
      <w:r w:rsidR="005E1067" w:rsidRPr="00A47336">
        <w:t xml:space="preserve"> S. </w:t>
      </w:r>
      <w:r w:rsidR="00DE5EDB" w:rsidRPr="00A47336">
        <w:t xml:space="preserve">285 ff. </w:t>
      </w:r>
      <w:r w:rsidR="00DE5EDB" w:rsidRPr="001B79C4">
        <w:rPr>
          <w:lang w:val="de-DE"/>
        </w:rPr>
        <w:t xml:space="preserve">(zusammen mit </w:t>
      </w:r>
      <w:r w:rsidR="00DE5EDB" w:rsidRPr="002271C5">
        <w:rPr>
          <w:i/>
          <w:lang w:val="de-DE"/>
        </w:rPr>
        <w:t>Bachmann</w:t>
      </w:r>
      <w:r w:rsidR="00DE5EDB" w:rsidRPr="001B79C4">
        <w:rPr>
          <w:lang w:val="de-DE"/>
        </w:rPr>
        <w:t xml:space="preserve">, </w:t>
      </w:r>
      <w:r w:rsidR="00DE5EDB" w:rsidRPr="00BB0363">
        <w:rPr>
          <w:i/>
          <w:lang w:val="de-DE"/>
        </w:rPr>
        <w:t>Bücker</w:t>
      </w:r>
      <w:r w:rsidR="00DE5EDB" w:rsidRPr="00BB0363">
        <w:rPr>
          <w:lang w:val="de-DE"/>
        </w:rPr>
        <w:t xml:space="preserve">, </w:t>
      </w:r>
      <w:r w:rsidR="00DE5EDB" w:rsidRPr="00BB0363">
        <w:rPr>
          <w:i/>
          <w:lang w:val="de-DE"/>
        </w:rPr>
        <w:t>Casper</w:t>
      </w:r>
      <w:r w:rsidR="00DE5EDB" w:rsidRPr="00BB0363">
        <w:rPr>
          <w:lang w:val="de-DE"/>
        </w:rPr>
        <w:t xml:space="preserve">, </w:t>
      </w:r>
      <w:r w:rsidR="00DE5EDB" w:rsidRPr="00BB0363">
        <w:rPr>
          <w:i/>
          <w:lang w:val="de-DE"/>
        </w:rPr>
        <w:t>Ihrig</w:t>
      </w:r>
      <w:r w:rsidR="00DE5EDB" w:rsidRPr="00BB0363">
        <w:rPr>
          <w:lang w:val="de-DE"/>
        </w:rPr>
        <w:t xml:space="preserve">, </w:t>
      </w:r>
      <w:r w:rsidR="00DE5EDB" w:rsidRPr="00BB0363">
        <w:rPr>
          <w:i/>
          <w:lang w:val="de-DE"/>
        </w:rPr>
        <w:t>Jannott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C. Schäfer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Seibt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Schiessl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Teichmann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Veil</w:t>
      </w:r>
      <w:r w:rsidR="00DE5EDB" w:rsidRPr="001B79C4">
        <w:rPr>
          <w:lang w:val="de-DE"/>
        </w:rPr>
        <w:t xml:space="preserve">, </w:t>
      </w:r>
      <w:r w:rsidR="00DE5EDB" w:rsidRPr="002271C5">
        <w:rPr>
          <w:i/>
          <w:lang w:val="de-DE"/>
        </w:rPr>
        <w:t>Weller</w:t>
      </w:r>
      <w:r w:rsidR="00DE5EDB" w:rsidRPr="001B79C4">
        <w:rPr>
          <w:lang w:val="de-DE"/>
        </w:rPr>
        <w:t>)</w:t>
      </w:r>
      <w:r w:rsidR="00083C6A">
        <w:rPr>
          <w:lang w:val="de-DE"/>
        </w:rPr>
        <w:t>.</w:t>
      </w:r>
    </w:p>
    <w:p w14:paraId="1386C128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8C751C">
        <w:rPr>
          <w:b/>
          <w:lang w:val="de-DE"/>
        </w:rPr>
        <w:t>SE-Aufsichtsrat und Dreiteilbarkeitsgrundsatz – zugleich Besprechung von LG Nürnberg-Fürth, Beschl. v. 8.2.2010 – HK O 8471/09 („GfK“)</w:t>
      </w:r>
      <w:r w:rsidR="00DE5EDB" w:rsidRPr="008C751C">
        <w:rPr>
          <w:lang w:val="de-DE"/>
        </w:rPr>
        <w:t xml:space="preserve">, </w:t>
      </w:r>
      <w:r w:rsidR="00DE5EDB" w:rsidRPr="001B79C4">
        <w:rPr>
          <w:lang w:val="de-DE"/>
        </w:rPr>
        <w:t>Der Konzern 2010,</w:t>
      </w:r>
      <w:r w:rsidR="008C751C">
        <w:rPr>
          <w:lang w:val="de-DE"/>
        </w:rPr>
        <w:t xml:space="preserve"> S. </w:t>
      </w:r>
      <w:r w:rsidR="00DE5EDB" w:rsidRPr="001B79C4">
        <w:rPr>
          <w:lang w:val="de-DE"/>
        </w:rPr>
        <w:t>275 ff.</w:t>
      </w:r>
    </w:p>
    <w:p w14:paraId="33ACDE4B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C36DB7">
        <w:rPr>
          <w:b/>
          <w:lang w:val="de-DE"/>
        </w:rPr>
        <w:t>Vertraulichkeitsgeschützte Dokumente in M&amp;A-Prozessen</w:t>
      </w:r>
      <w:r w:rsidR="00DE5EDB" w:rsidRPr="001B79C4">
        <w:rPr>
          <w:lang w:val="de-DE"/>
        </w:rPr>
        <w:t>, CFL 2010</w:t>
      </w:r>
      <w:r w:rsidR="00C36DB7">
        <w:rPr>
          <w:lang w:val="de-DE"/>
        </w:rPr>
        <w:t>,</w:t>
      </w:r>
      <w:r w:rsidR="00DE5EDB" w:rsidRPr="001B79C4">
        <w:rPr>
          <w:lang w:val="de-DE"/>
        </w:rPr>
        <w:t xml:space="preserve"> </w:t>
      </w:r>
      <w:r w:rsidR="00C36DB7">
        <w:rPr>
          <w:lang w:val="de-DE"/>
        </w:rPr>
        <w:t>S. </w:t>
      </w:r>
      <w:r w:rsidR="00DE5EDB" w:rsidRPr="001B79C4">
        <w:rPr>
          <w:lang w:val="de-DE"/>
        </w:rPr>
        <w:t>405 ff.</w:t>
      </w:r>
    </w:p>
    <w:p w14:paraId="09D8B705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2B55D9">
        <w:rPr>
          <w:b/>
          <w:lang w:val="de-DE"/>
        </w:rPr>
        <w:t>Arbeitskreis Aktien- und Kapitalmarktrecht: Vorschläge zur Reform der Mitbestimmung in der Societas Europaea (SE)</w:t>
      </w:r>
      <w:r w:rsidR="00DE5EDB" w:rsidRPr="001B79C4">
        <w:rPr>
          <w:lang w:val="de-DE"/>
        </w:rPr>
        <w:t xml:space="preserve">, ZIP 2010, </w:t>
      </w:r>
      <w:r w:rsidR="002B55D9">
        <w:rPr>
          <w:lang w:val="de-DE"/>
        </w:rPr>
        <w:t xml:space="preserve">S. </w:t>
      </w:r>
      <w:r w:rsidR="00DE5EDB" w:rsidRPr="001B79C4">
        <w:rPr>
          <w:lang w:val="de-DE"/>
        </w:rPr>
        <w:t>2221 ff.</w:t>
      </w:r>
    </w:p>
    <w:p w14:paraId="59F1F123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2B55D9">
        <w:rPr>
          <w:b/>
          <w:lang w:val="de-DE"/>
        </w:rPr>
        <w:t>Der Evaluierungsbericht der EU-Kommission zur SE-Verordnung</w:t>
      </w:r>
      <w:r w:rsidR="00DE5EDB" w:rsidRPr="001B79C4">
        <w:rPr>
          <w:lang w:val="de-DE"/>
        </w:rPr>
        <w:t>, C</w:t>
      </w:r>
      <w:r w:rsidR="006631BD" w:rsidRPr="001B79C4">
        <w:rPr>
          <w:lang w:val="de-DE"/>
        </w:rPr>
        <w:t>FL </w:t>
      </w:r>
      <w:r w:rsidR="00DE5EDB" w:rsidRPr="001B79C4">
        <w:rPr>
          <w:lang w:val="de-DE"/>
        </w:rPr>
        <w:t>2011,</w:t>
      </w:r>
      <w:r w:rsidR="002B55D9">
        <w:rPr>
          <w:lang w:val="de-DE"/>
        </w:rPr>
        <w:t xml:space="preserve"> S. </w:t>
      </w:r>
      <w:r w:rsidR="00DE5EDB" w:rsidRPr="001B79C4">
        <w:rPr>
          <w:lang w:val="de-DE"/>
        </w:rPr>
        <w:t>134</w:t>
      </w:r>
      <w:r w:rsidR="006631BD" w:rsidRPr="001B79C4">
        <w:rPr>
          <w:lang w:val="de-DE"/>
        </w:rPr>
        <w:t> </w:t>
      </w:r>
      <w:r w:rsidR="00DE5EDB" w:rsidRPr="001B79C4">
        <w:rPr>
          <w:lang w:val="de-DE"/>
        </w:rPr>
        <w:t xml:space="preserve">ff. </w:t>
      </w:r>
    </w:p>
    <w:p w14:paraId="31BCC001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0C6EB9">
        <w:rPr>
          <w:b/>
          <w:lang w:val="de-DE"/>
        </w:rPr>
        <w:t>Arbeitskreis Aktien- und Kapitalmarktrecht: Vorschläge zur Reform der Mitbestimmung in der Societas Europaea (SE) – ergänzend</w:t>
      </w:r>
      <w:r w:rsidR="000C1CC9" w:rsidRPr="000C6EB9">
        <w:rPr>
          <w:b/>
          <w:lang w:val="de-DE"/>
        </w:rPr>
        <w:t>e Stellungnahme</w:t>
      </w:r>
      <w:r w:rsidR="000C1CC9" w:rsidRPr="001B79C4">
        <w:rPr>
          <w:lang w:val="de-DE"/>
        </w:rPr>
        <w:t>, ZIP 2011,</w:t>
      </w:r>
      <w:r w:rsidR="000C6EB9">
        <w:rPr>
          <w:lang w:val="de-DE"/>
        </w:rPr>
        <w:t xml:space="preserve"> S. </w:t>
      </w:r>
      <w:r w:rsidR="000C1CC9" w:rsidRPr="001B79C4">
        <w:rPr>
          <w:lang w:val="de-DE"/>
        </w:rPr>
        <w:t>1148 </w:t>
      </w:r>
      <w:r w:rsidR="00DE5EDB" w:rsidRPr="001B79C4">
        <w:rPr>
          <w:lang w:val="de-DE"/>
        </w:rPr>
        <w:t>ff.</w:t>
      </w:r>
    </w:p>
    <w:p w14:paraId="311EBC9B" w14:textId="77777777" w:rsidR="009B043C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B6491">
        <w:rPr>
          <w:b/>
          <w:lang w:val="de-DE"/>
        </w:rPr>
        <w:t>Arbeitskreis DT III</w:t>
      </w:r>
      <w:r w:rsidR="009006A9">
        <w:rPr>
          <w:b/>
          <w:lang w:val="de-DE"/>
        </w:rPr>
        <w:t>-</w:t>
      </w:r>
      <w:r w:rsidR="009B043C" w:rsidRPr="000C6EB9">
        <w:rPr>
          <w:b/>
          <w:lang w:val="de-DE"/>
        </w:rPr>
        <w:t>Urteil: Thesen zum Umgan</w:t>
      </w:r>
      <w:r w:rsidR="00DB6491">
        <w:rPr>
          <w:b/>
          <w:lang w:val="de-DE"/>
        </w:rPr>
        <w:t>g mit dem „Deutsche Telekom III–</w:t>
      </w:r>
      <w:r w:rsidR="009B043C" w:rsidRPr="000C6EB9">
        <w:rPr>
          <w:b/>
          <w:lang w:val="de-DE"/>
        </w:rPr>
        <w:t>Urteil“ de</w:t>
      </w:r>
      <w:r w:rsidR="003466B5" w:rsidRPr="000C6EB9">
        <w:rPr>
          <w:b/>
          <w:lang w:val="de-DE"/>
        </w:rPr>
        <w:t>s</w:t>
      </w:r>
      <w:r w:rsidR="009B043C" w:rsidRPr="000C6EB9">
        <w:rPr>
          <w:b/>
          <w:lang w:val="de-DE"/>
        </w:rPr>
        <w:t xml:space="preserve"> BGH vom 31.05.2011 bei künftigen Börsengängen</w:t>
      </w:r>
      <w:r w:rsidR="009B043C" w:rsidRPr="001B79C4">
        <w:rPr>
          <w:lang w:val="de-DE"/>
        </w:rPr>
        <w:t>, CFL 2011,</w:t>
      </w:r>
      <w:r w:rsidR="000C6EB9">
        <w:rPr>
          <w:lang w:val="de-DE"/>
        </w:rPr>
        <w:t xml:space="preserve"> S. </w:t>
      </w:r>
      <w:r w:rsidR="009B043C" w:rsidRPr="001B79C4">
        <w:rPr>
          <w:lang w:val="de-DE"/>
        </w:rPr>
        <w:t>377 ff.</w:t>
      </w:r>
    </w:p>
    <w:p w14:paraId="033662C6" w14:textId="77777777" w:rsidR="002A44C8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716E11" w:rsidRPr="00F733C5">
        <w:rPr>
          <w:b/>
          <w:lang w:val="de-DE"/>
        </w:rPr>
        <w:t>Der schädigende Beteiligungserwerb</w:t>
      </w:r>
      <w:r w:rsidR="00716E11" w:rsidRPr="001B79C4">
        <w:rPr>
          <w:lang w:val="de-DE"/>
        </w:rPr>
        <w:t xml:space="preserve">, </w:t>
      </w:r>
      <w:r w:rsidR="004D0DCC" w:rsidRPr="001B79C4">
        <w:rPr>
          <w:lang w:val="de-DE"/>
        </w:rPr>
        <w:t>ZHR</w:t>
      </w:r>
      <w:r w:rsidR="00AA31C0">
        <w:rPr>
          <w:lang w:val="de-DE"/>
        </w:rPr>
        <w:t xml:space="preserve"> 177 (</w:t>
      </w:r>
      <w:r w:rsidR="00F733C5">
        <w:rPr>
          <w:lang w:val="de-DE"/>
        </w:rPr>
        <w:t>2013</w:t>
      </w:r>
      <w:r w:rsidR="00AA31C0">
        <w:rPr>
          <w:lang w:val="de-DE"/>
        </w:rPr>
        <w:t>)</w:t>
      </w:r>
      <w:r w:rsidR="00F733C5">
        <w:rPr>
          <w:lang w:val="de-DE"/>
        </w:rPr>
        <w:t>,</w:t>
      </w:r>
      <w:r w:rsidR="00716E11" w:rsidRPr="001B79C4">
        <w:rPr>
          <w:lang w:val="de-DE"/>
        </w:rPr>
        <w:t xml:space="preserve"> S. 819 ff.</w:t>
      </w:r>
      <w:r w:rsidR="00083C6A">
        <w:rPr>
          <w:lang w:val="de-DE"/>
        </w:rPr>
        <w:t>,</w:t>
      </w:r>
      <w:r w:rsidR="00716E11" w:rsidRPr="001B79C4">
        <w:rPr>
          <w:lang w:val="de-DE"/>
        </w:rPr>
        <w:t xml:space="preserve"> (zusammen mit </w:t>
      </w:r>
      <w:r w:rsidR="00716E11" w:rsidRPr="002271C5">
        <w:rPr>
          <w:i/>
          <w:lang w:val="de-DE"/>
        </w:rPr>
        <w:t>Mülbert</w:t>
      </w:r>
      <w:r w:rsidR="00716E11" w:rsidRPr="001B79C4">
        <w:rPr>
          <w:lang w:val="de-DE"/>
        </w:rPr>
        <w:t>).</w:t>
      </w:r>
    </w:p>
    <w:p w14:paraId="5877FEF3" w14:textId="77777777" w:rsidR="001B1772" w:rsidRDefault="006B0684" w:rsidP="001B1772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lastRenderedPageBreak/>
        <w:tab/>
      </w:r>
      <w:r w:rsidR="002A44C8" w:rsidRPr="00F733C5">
        <w:rPr>
          <w:b/>
          <w:lang w:val="de-DE"/>
        </w:rPr>
        <w:t>Arbeitskreis Reform</w:t>
      </w:r>
      <w:r w:rsidR="00DA25E4">
        <w:rPr>
          <w:b/>
          <w:lang w:val="de-DE"/>
        </w:rPr>
        <w:t xml:space="preserve"> des Schuldverschreibungsrechts,</w:t>
      </w:r>
      <w:r w:rsidR="002A44C8" w:rsidRPr="00F733C5">
        <w:rPr>
          <w:b/>
          <w:lang w:val="de-DE"/>
        </w:rPr>
        <w:t xml:space="preserve"> Reform des Schuldverschrei</w:t>
      </w:r>
      <w:r w:rsidR="008B3B9D" w:rsidRPr="00F733C5">
        <w:rPr>
          <w:b/>
          <w:lang w:val="de-DE"/>
        </w:rPr>
        <w:t>bungsgesetzes</w:t>
      </w:r>
      <w:r w:rsidR="008B3B9D" w:rsidRPr="001B79C4">
        <w:rPr>
          <w:lang w:val="de-DE"/>
        </w:rPr>
        <w:t xml:space="preserve">, </w:t>
      </w:r>
      <w:r w:rsidR="0041660B">
        <w:rPr>
          <w:lang w:val="de-DE"/>
        </w:rPr>
        <w:t>Z</w:t>
      </w:r>
      <w:r w:rsidR="008B3B9D" w:rsidRPr="001B79C4">
        <w:rPr>
          <w:lang w:val="de-DE"/>
        </w:rPr>
        <w:t>IP 2014,</w:t>
      </w:r>
      <w:r w:rsidR="00F733C5">
        <w:rPr>
          <w:lang w:val="de-DE"/>
        </w:rPr>
        <w:t xml:space="preserve"> S. </w:t>
      </w:r>
      <w:r w:rsidR="002A44C8" w:rsidRPr="001B79C4">
        <w:rPr>
          <w:lang w:val="de-DE"/>
        </w:rPr>
        <w:t>845 ff.</w:t>
      </w:r>
    </w:p>
    <w:p w14:paraId="0E7C92E3" w14:textId="77777777" w:rsidR="009524EE" w:rsidRPr="001B1772" w:rsidRDefault="001B1772" w:rsidP="00DA25E4">
      <w:pPr>
        <w:pStyle w:val="BulletedList"/>
        <w:numPr>
          <w:ilvl w:val="0"/>
          <w:numId w:val="0"/>
        </w:numPr>
        <w:spacing w:after="480"/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313E01" w:rsidRPr="00313E01">
        <w:rPr>
          <w:b/>
          <w:lang w:val="de-DE"/>
        </w:rPr>
        <w:t>Erwartung</w:t>
      </w:r>
      <w:r w:rsidR="00313E01">
        <w:rPr>
          <w:b/>
          <w:lang w:val="de-DE"/>
        </w:rPr>
        <w:t>en der Praxis an eine künftige</w:t>
      </w:r>
      <w:r w:rsidR="00313E01" w:rsidRPr="00313E01">
        <w:rPr>
          <w:b/>
          <w:lang w:val="de-DE"/>
        </w:rPr>
        <w:t xml:space="preserve"> EU-Sitzverlegungsrichtlini</w:t>
      </w:r>
      <w:r w:rsidR="00313E01">
        <w:rPr>
          <w:b/>
          <w:lang w:val="de-DE"/>
        </w:rPr>
        <w:t>e</w:t>
      </w:r>
      <w:r w:rsidR="00B11791" w:rsidRPr="00B11791">
        <w:rPr>
          <w:lang w:val="de-DE"/>
        </w:rPr>
        <w:t xml:space="preserve">, </w:t>
      </w:r>
      <w:r w:rsidR="00B11791" w:rsidRPr="001B1772">
        <w:rPr>
          <w:lang w:val="de-DE"/>
        </w:rPr>
        <w:t>ZHR</w:t>
      </w:r>
      <w:r>
        <w:rPr>
          <w:lang w:val="de-DE"/>
        </w:rPr>
        <w:t xml:space="preserve"> 180 (2016), S. 289 ff.</w:t>
      </w:r>
      <w:r w:rsidR="00B11791">
        <w:rPr>
          <w:lang w:val="de-DE"/>
        </w:rPr>
        <w:t xml:space="preserve"> </w:t>
      </w:r>
    </w:p>
    <w:p w14:paraId="5C1BDA71" w14:textId="77777777" w:rsidR="00DE5EDB" w:rsidRPr="006B0684" w:rsidRDefault="00DE5EDB">
      <w:pPr>
        <w:pStyle w:val="Heading1"/>
        <w:rPr>
          <w:u w:val="single"/>
        </w:rPr>
      </w:pPr>
      <w:r w:rsidRPr="006B0684">
        <w:rPr>
          <w:u w:val="single"/>
        </w:rPr>
        <w:t>Beiträge in Sammelwerken und Tagungsbänden</w:t>
      </w:r>
      <w:r w:rsidR="006B0684" w:rsidRPr="006B0684">
        <w:rPr>
          <w:u w:val="single"/>
        </w:rPr>
        <w:br/>
      </w:r>
    </w:p>
    <w:p w14:paraId="339801EF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BD2145">
        <w:rPr>
          <w:b/>
          <w:lang w:val="de-DE"/>
        </w:rPr>
        <w:t>Umwandlungsrecht – Rückschau und Entwicklungstendenzen nach drei Jahren Praxis</w:t>
      </w:r>
      <w:r w:rsidR="00DE5EDB" w:rsidRPr="001B79C4">
        <w:rPr>
          <w:lang w:val="de-DE"/>
        </w:rPr>
        <w:t>, in: Hommel</w:t>
      </w:r>
      <w:r w:rsidR="00BD2145">
        <w:rPr>
          <w:lang w:val="de-DE"/>
        </w:rPr>
        <w:t>hoff/Röhricht (Hrsg.)</w:t>
      </w:r>
      <w:r w:rsidR="00DA25E4">
        <w:rPr>
          <w:lang w:val="de-DE"/>
        </w:rPr>
        <w:t>,</w:t>
      </w:r>
      <w:r w:rsidR="00DE5EDB" w:rsidRPr="001B79C4">
        <w:rPr>
          <w:lang w:val="de-DE"/>
        </w:rPr>
        <w:t xml:space="preserve"> RWS-</w:t>
      </w:r>
      <w:r w:rsidR="000C1CC9" w:rsidRPr="001B79C4">
        <w:rPr>
          <w:lang w:val="de-DE"/>
        </w:rPr>
        <w:t>Gesellschaftsrechtsforum 1997,</w:t>
      </w:r>
      <w:r w:rsidR="00BD2145">
        <w:rPr>
          <w:lang w:val="de-DE"/>
        </w:rPr>
        <w:t xml:space="preserve"> </w:t>
      </w:r>
      <w:r w:rsidR="007B23C2">
        <w:rPr>
          <w:lang w:val="de-DE"/>
        </w:rPr>
        <w:t>Köln,</w:t>
      </w:r>
      <w:r w:rsidR="00296CB4">
        <w:rPr>
          <w:lang w:val="de-DE"/>
        </w:rPr>
        <w:t xml:space="preserve"> RWS</w:t>
      </w:r>
      <w:r w:rsidR="00BD2145">
        <w:rPr>
          <w:lang w:val="de-DE"/>
        </w:rPr>
        <w:t>, 1997, S. </w:t>
      </w:r>
      <w:r w:rsidR="00DE5EDB" w:rsidRPr="001B79C4">
        <w:rPr>
          <w:lang w:val="de-DE"/>
        </w:rPr>
        <w:t xml:space="preserve">105 ff. </w:t>
      </w:r>
    </w:p>
    <w:p w14:paraId="698F0257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BD2145">
        <w:rPr>
          <w:b/>
          <w:lang w:val="de-DE"/>
        </w:rPr>
        <w:t>Das CENTROS-Urteil des Europäischen Gerichtshofs – praktische Gestaltungs- und Reaktionsmöglichkeiten aus dem Blickwinkel der Gesellschaften</w:t>
      </w:r>
      <w:r w:rsidR="00DE5EDB" w:rsidRPr="001B79C4">
        <w:rPr>
          <w:lang w:val="de-DE"/>
        </w:rPr>
        <w:t xml:space="preserve">, in: </w:t>
      </w:r>
      <w:r w:rsidR="00303E68" w:rsidRPr="00303E68">
        <w:rPr>
          <w:lang w:val="de-DE"/>
        </w:rPr>
        <w:t xml:space="preserve">Gesellschaftsrechtliche Vereinigung </w:t>
      </w:r>
      <w:r w:rsidR="00DA25E4">
        <w:rPr>
          <w:lang w:val="de-DE"/>
        </w:rPr>
        <w:t>(Hrsg.),</w:t>
      </w:r>
      <w:r w:rsidR="00BD2145">
        <w:rPr>
          <w:lang w:val="de-DE"/>
        </w:rPr>
        <w:t xml:space="preserve"> </w:t>
      </w:r>
      <w:r w:rsidR="00DE5EDB" w:rsidRPr="001B79C4">
        <w:rPr>
          <w:lang w:val="de-DE"/>
        </w:rPr>
        <w:t>Gesellschaftsrecht in der Diskussion 199</w:t>
      </w:r>
      <w:r w:rsidR="000C1CC9" w:rsidRPr="001B79C4">
        <w:rPr>
          <w:lang w:val="de-DE"/>
        </w:rPr>
        <w:t>9 – Jahrestagung 1999 der VGR,</w:t>
      </w:r>
      <w:r w:rsidR="00BD2145">
        <w:rPr>
          <w:lang w:val="de-DE"/>
        </w:rPr>
        <w:t xml:space="preserve"> </w:t>
      </w:r>
      <w:r w:rsidR="007B23C2">
        <w:rPr>
          <w:lang w:val="de-DE"/>
        </w:rPr>
        <w:t>Köln,</w:t>
      </w:r>
      <w:r w:rsidR="00303E68">
        <w:rPr>
          <w:lang w:val="de-DE"/>
        </w:rPr>
        <w:t xml:space="preserve"> </w:t>
      </w:r>
      <w:r w:rsidR="00034E77">
        <w:rPr>
          <w:lang w:val="de-DE"/>
        </w:rPr>
        <w:t xml:space="preserve">Dr. </w:t>
      </w:r>
      <w:r w:rsidR="00303E68">
        <w:rPr>
          <w:lang w:val="de-DE"/>
        </w:rPr>
        <w:t>Otto Schmidt</w:t>
      </w:r>
      <w:r w:rsidR="00BD2145">
        <w:rPr>
          <w:lang w:val="de-DE"/>
        </w:rPr>
        <w:t>, 1999,</w:t>
      </w:r>
      <w:r w:rsidR="00DE5EDB" w:rsidRPr="001B79C4">
        <w:rPr>
          <w:lang w:val="de-DE"/>
        </w:rPr>
        <w:t xml:space="preserve"> </w:t>
      </w:r>
      <w:r w:rsidR="00BD2145">
        <w:rPr>
          <w:lang w:val="de-DE"/>
        </w:rPr>
        <w:t>S</w:t>
      </w:r>
      <w:r w:rsidR="00DA25E4">
        <w:rPr>
          <w:lang w:val="de-DE"/>
        </w:rPr>
        <w:t>.</w:t>
      </w:r>
      <w:r w:rsidR="00BD2145">
        <w:rPr>
          <w:lang w:val="de-DE"/>
        </w:rPr>
        <w:t> </w:t>
      </w:r>
      <w:r w:rsidR="00DE5EDB" w:rsidRPr="001B79C4">
        <w:rPr>
          <w:lang w:val="de-DE"/>
        </w:rPr>
        <w:t xml:space="preserve">199 ff.  </w:t>
      </w:r>
    </w:p>
    <w:p w14:paraId="2E59BF9D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BD2145">
        <w:rPr>
          <w:b/>
          <w:lang w:val="de-DE"/>
        </w:rPr>
        <w:t>Das neue Übernahmegesetz: Squeeze-Out</w:t>
      </w:r>
      <w:r w:rsidR="00DE5EDB" w:rsidRPr="001B79C4">
        <w:rPr>
          <w:lang w:val="de-DE"/>
        </w:rPr>
        <w:t>, in</w:t>
      </w:r>
      <w:r w:rsidR="007A4C84">
        <w:rPr>
          <w:lang w:val="de-DE"/>
        </w:rPr>
        <w:t>: Henze/Hoffmann-Becking (Hrsg)</w:t>
      </w:r>
      <w:r w:rsidR="00DA25E4">
        <w:rPr>
          <w:lang w:val="de-DE"/>
        </w:rPr>
        <w:t>,</w:t>
      </w:r>
      <w:r w:rsidR="00DE5EDB" w:rsidRPr="001B79C4">
        <w:rPr>
          <w:lang w:val="de-DE"/>
        </w:rPr>
        <w:t xml:space="preserve"> Gesellschaftsrecht </w:t>
      </w:r>
      <w:r w:rsidR="00DE5EDB" w:rsidRPr="009F18DE">
        <w:rPr>
          <w:lang w:val="de-DE"/>
        </w:rPr>
        <w:t>2001</w:t>
      </w:r>
      <w:r w:rsidR="00DE5EDB" w:rsidRPr="001B79C4">
        <w:rPr>
          <w:lang w:val="de-DE"/>
        </w:rPr>
        <w:t>, RWS Forum 20,</w:t>
      </w:r>
      <w:r w:rsidR="007A4C84">
        <w:rPr>
          <w:lang w:val="de-DE"/>
        </w:rPr>
        <w:t xml:space="preserve"> </w:t>
      </w:r>
      <w:r w:rsidR="007B23C2">
        <w:rPr>
          <w:lang w:val="de-DE"/>
        </w:rPr>
        <w:t>Köln,</w:t>
      </w:r>
      <w:r w:rsidR="00296CB4">
        <w:rPr>
          <w:lang w:val="de-DE"/>
        </w:rPr>
        <w:t xml:space="preserve"> RWS</w:t>
      </w:r>
      <w:r w:rsidR="00AF73D5">
        <w:rPr>
          <w:lang w:val="de-DE"/>
        </w:rPr>
        <w:t>,</w:t>
      </w:r>
      <w:r w:rsidR="007A4C84">
        <w:rPr>
          <w:lang w:val="de-DE"/>
        </w:rPr>
        <w:t xml:space="preserve"> S. </w:t>
      </w:r>
      <w:r w:rsidR="00DE5EDB" w:rsidRPr="001B79C4">
        <w:rPr>
          <w:lang w:val="de-DE"/>
        </w:rPr>
        <w:t xml:space="preserve">329 ff. </w:t>
      </w:r>
    </w:p>
    <w:p w14:paraId="4418B51D" w14:textId="77777777" w:rsidR="006C1651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6C1651" w:rsidRPr="00BD2145">
        <w:rPr>
          <w:b/>
          <w:lang w:val="de-DE"/>
        </w:rPr>
        <w:t>Auswirkungen von SE-Sitzverlegung und Formwechsel aus der SE auf das Mitbestimmungsstatut</w:t>
      </w:r>
      <w:r w:rsidR="006C1651" w:rsidRPr="001B79C4">
        <w:rPr>
          <w:lang w:val="de-DE"/>
        </w:rPr>
        <w:t>, in: Ber</w:t>
      </w:r>
      <w:r w:rsidR="00DA25E4">
        <w:rPr>
          <w:lang w:val="de-DE"/>
        </w:rPr>
        <w:t>gmann/Kiem/Mülbert/Verse/Wittig,</w:t>
      </w:r>
      <w:r w:rsidR="006C1651" w:rsidRPr="001B79C4">
        <w:rPr>
          <w:lang w:val="de-DE"/>
        </w:rPr>
        <w:t xml:space="preserve"> Zehn Jahre SE in Deutschland, ZHR Son</w:t>
      </w:r>
      <w:r w:rsidR="0043078B">
        <w:rPr>
          <w:lang w:val="de-DE"/>
        </w:rPr>
        <w:t>derheft</w:t>
      </w:r>
      <w:r w:rsidR="00A564FE">
        <w:rPr>
          <w:lang w:val="de-DE"/>
        </w:rPr>
        <w:t xml:space="preserve"> 77</w:t>
      </w:r>
      <w:r w:rsidR="00AF73D5">
        <w:rPr>
          <w:lang w:val="de-DE"/>
        </w:rPr>
        <w:t xml:space="preserve">, </w:t>
      </w:r>
      <w:r w:rsidR="006C1651" w:rsidRPr="001B79C4">
        <w:rPr>
          <w:lang w:val="de-DE"/>
        </w:rPr>
        <w:t>2015, S.</w:t>
      </w:r>
      <w:r w:rsidR="00A564FE">
        <w:rPr>
          <w:lang w:val="de-DE"/>
        </w:rPr>
        <w:t xml:space="preserve"> 126 ff.</w:t>
      </w:r>
    </w:p>
    <w:p w14:paraId="02E8F387" w14:textId="77777777" w:rsidR="00DA25E4" w:rsidRDefault="00DA25E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Pr="00DA25E4">
        <w:rPr>
          <w:b/>
          <w:lang w:val="de-DE"/>
        </w:rPr>
        <w:t>Folgen aus dem Vorlagebeschluss des KG Berlin für die aktuelle Beratungspraxis</w:t>
      </w:r>
      <w:r>
        <w:rPr>
          <w:lang w:val="de-DE"/>
        </w:rPr>
        <w:t>, in: Behm</w:t>
      </w:r>
      <w:r w:rsidRPr="00310568">
        <w:rPr>
          <w:lang w:val="de-DE"/>
        </w:rPr>
        <w:t>e/Eidenmüller/Habersack</w:t>
      </w:r>
      <w:r w:rsidR="00FC6E0E" w:rsidRPr="00310568">
        <w:rPr>
          <w:lang w:val="de-DE"/>
        </w:rPr>
        <w:t>/K</w:t>
      </w:r>
      <w:r w:rsidR="0043078B">
        <w:rPr>
          <w:lang w:val="de-DE"/>
        </w:rPr>
        <w:t>l</w:t>
      </w:r>
      <w:r w:rsidR="00FC6E0E" w:rsidRPr="00310568">
        <w:rPr>
          <w:lang w:val="de-DE"/>
        </w:rPr>
        <w:t>öhn</w:t>
      </w:r>
      <w:r w:rsidRPr="00310568">
        <w:rPr>
          <w:lang w:val="de-DE"/>
        </w:rPr>
        <w:t>, Die deutsche Mitbestimmung unter europäischem Reform</w:t>
      </w:r>
      <w:r w:rsidR="00FC6E0E" w:rsidRPr="00310568">
        <w:rPr>
          <w:lang w:val="de-DE"/>
        </w:rPr>
        <w:t>zwang, ZHR Sonderheft 78, 2016</w:t>
      </w:r>
      <w:r w:rsidR="004D26F1" w:rsidRPr="00310568">
        <w:rPr>
          <w:lang w:val="de-DE"/>
        </w:rPr>
        <w:t>, S.</w:t>
      </w:r>
      <w:r w:rsidR="00054259">
        <w:rPr>
          <w:lang w:val="de-DE"/>
        </w:rPr>
        <w:t xml:space="preserve"> </w:t>
      </w:r>
      <w:r w:rsidR="004D26F1" w:rsidRPr="00310568">
        <w:rPr>
          <w:lang w:val="de-DE"/>
        </w:rPr>
        <w:t>193 ff</w:t>
      </w:r>
      <w:r w:rsidRPr="00310568">
        <w:rPr>
          <w:lang w:val="de-DE"/>
        </w:rPr>
        <w:t>.</w:t>
      </w:r>
    </w:p>
    <w:p w14:paraId="3DD33B4A" w14:textId="77777777" w:rsidR="00DA25E4" w:rsidRDefault="00DA25E4" w:rsidP="00676F3A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Pr="00DA25E4">
        <w:rPr>
          <w:b/>
          <w:lang w:val="de-DE"/>
        </w:rPr>
        <w:t>Am Enterprise Value orientierte Kaufpreisanpassungsklauseln, Weiterverkaufs</w:t>
      </w:r>
      <w:r w:rsidR="00FB4194">
        <w:rPr>
          <w:b/>
          <w:lang w:val="de-DE"/>
        </w:rPr>
        <w:t xml:space="preserve">- und </w:t>
      </w:r>
      <w:r w:rsidRPr="00DA25E4">
        <w:rPr>
          <w:b/>
          <w:lang w:val="de-DE"/>
        </w:rPr>
        <w:t>Mehrerlösklauseln</w:t>
      </w:r>
      <w:r>
        <w:rPr>
          <w:lang w:val="de-DE"/>
        </w:rPr>
        <w:t>, in: Drygala/Wächter</w:t>
      </w:r>
      <w:r w:rsidR="00FB4194">
        <w:rPr>
          <w:lang w:val="de-DE"/>
        </w:rPr>
        <w:t xml:space="preserve"> (Hrsg.), Kaufpreisanpassungs- und Earno</w:t>
      </w:r>
      <w:r>
        <w:rPr>
          <w:lang w:val="de-DE"/>
        </w:rPr>
        <w:t>ut-Klauseln bei M&amp;A-Transaktionen, C.H. Beck,</w:t>
      </w:r>
      <w:r w:rsidR="00FB4194">
        <w:rPr>
          <w:lang w:val="de-DE"/>
        </w:rPr>
        <w:t xml:space="preserve"> 2016, S. 151 ff.</w:t>
      </w:r>
    </w:p>
    <w:p w14:paraId="6B965708" w14:textId="77777777" w:rsidR="00676F3A" w:rsidRPr="00676F3A" w:rsidRDefault="00676F3A" w:rsidP="00DA25E4">
      <w:pPr>
        <w:pStyle w:val="BulletedList"/>
        <w:numPr>
          <w:ilvl w:val="0"/>
          <w:numId w:val="0"/>
        </w:numPr>
        <w:spacing w:after="480"/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Pr="00676F3A">
        <w:rPr>
          <w:b/>
          <w:lang w:val="de-DE"/>
        </w:rPr>
        <w:t>Gläubigerschutz bei Verschmelzungen aus deutscher Sicht</w:t>
      </w:r>
      <w:r>
        <w:rPr>
          <w:lang w:val="de-DE"/>
        </w:rPr>
        <w:t>, in: Kalss/U. To</w:t>
      </w:r>
      <w:r w:rsidR="00506E07">
        <w:rPr>
          <w:lang w:val="de-DE"/>
        </w:rPr>
        <w:t>rggler (Hrsg</w:t>
      </w:r>
      <w:r w:rsidR="00034E77">
        <w:rPr>
          <w:lang w:val="de-DE"/>
        </w:rPr>
        <w:t>.</w:t>
      </w:r>
      <w:r w:rsidR="00506E07">
        <w:rPr>
          <w:lang w:val="de-DE"/>
        </w:rPr>
        <w:t>), Aktuelle Fragen bei</w:t>
      </w:r>
      <w:r>
        <w:rPr>
          <w:lang w:val="de-DE"/>
        </w:rPr>
        <w:t xml:space="preserve"> M&amp;A, MANZ´sche</w:t>
      </w:r>
      <w:r w:rsidR="00AD521B">
        <w:rPr>
          <w:lang w:val="de-DE"/>
        </w:rPr>
        <w:t xml:space="preserve"> Verlags- und Universitätsbuchhandlung, 2019, S. 19 ff.</w:t>
      </w:r>
    </w:p>
    <w:p w14:paraId="0195B3E3" w14:textId="77777777" w:rsidR="00DE5EDB" w:rsidRPr="006B0684" w:rsidRDefault="00DE5EDB">
      <w:pPr>
        <w:pStyle w:val="Heading1"/>
        <w:rPr>
          <w:u w:val="single"/>
        </w:rPr>
      </w:pPr>
      <w:r w:rsidRPr="006B0684">
        <w:rPr>
          <w:u w:val="single"/>
        </w:rPr>
        <w:lastRenderedPageBreak/>
        <w:t>Festschriftenbeiträge</w:t>
      </w:r>
      <w:r w:rsidR="006B0684">
        <w:rPr>
          <w:u w:val="single"/>
        </w:rPr>
        <w:br/>
      </w:r>
    </w:p>
    <w:p w14:paraId="6722C72E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5A5AA1">
        <w:rPr>
          <w:b/>
          <w:lang w:val="de-DE"/>
        </w:rPr>
        <w:t>Die Investmentaktiengesellschaft mit veränderlichem Kapital</w:t>
      </w:r>
      <w:r w:rsidR="00DE5EDB" w:rsidRPr="001B79C4">
        <w:rPr>
          <w:lang w:val="de-DE"/>
        </w:rPr>
        <w:t xml:space="preserve">, in: Festschrift für Hadding, </w:t>
      </w:r>
      <w:r w:rsidR="001B0A6C">
        <w:rPr>
          <w:lang w:val="de-DE"/>
        </w:rPr>
        <w:t>Berlin,</w:t>
      </w:r>
      <w:r w:rsidR="005A5AA1" w:rsidRPr="002973E1">
        <w:rPr>
          <w:lang w:val="de-DE"/>
        </w:rPr>
        <w:t xml:space="preserve"> </w:t>
      </w:r>
      <w:r w:rsidR="00DA0E70">
        <w:rPr>
          <w:lang w:val="de-DE"/>
        </w:rPr>
        <w:t>De Gruyte</w:t>
      </w:r>
      <w:r w:rsidR="00AE00F8">
        <w:rPr>
          <w:lang w:val="de-DE"/>
        </w:rPr>
        <w:t>r</w:t>
      </w:r>
      <w:r w:rsidR="005A5AA1">
        <w:rPr>
          <w:lang w:val="de-DE"/>
        </w:rPr>
        <w:t xml:space="preserve">, </w:t>
      </w:r>
      <w:r w:rsidR="00DE5EDB" w:rsidRPr="001B79C4">
        <w:rPr>
          <w:lang w:val="de-DE"/>
        </w:rPr>
        <w:t xml:space="preserve">2004, </w:t>
      </w:r>
      <w:r w:rsidR="00BA636B">
        <w:rPr>
          <w:lang w:val="de-DE"/>
        </w:rPr>
        <w:t>S. 741 </w:t>
      </w:r>
      <w:r w:rsidR="00DE5EDB" w:rsidRPr="001B79C4">
        <w:rPr>
          <w:lang w:val="de-DE"/>
        </w:rPr>
        <w:t>ff.</w:t>
      </w:r>
      <w:r w:rsidR="00083C6A">
        <w:rPr>
          <w:lang w:val="de-DE"/>
        </w:rPr>
        <w:t>,</w:t>
      </w:r>
      <w:r w:rsidR="00DE5EDB" w:rsidRPr="001B79C4">
        <w:rPr>
          <w:lang w:val="de-DE"/>
        </w:rPr>
        <w:t xml:space="preserve"> (zusammen mit </w:t>
      </w:r>
      <w:r w:rsidR="00DE5EDB" w:rsidRPr="002271C5">
        <w:rPr>
          <w:i/>
          <w:lang w:val="de-DE"/>
        </w:rPr>
        <w:t>Baums</w:t>
      </w:r>
      <w:r w:rsidR="00DE5EDB" w:rsidRPr="001B79C4">
        <w:rPr>
          <w:lang w:val="de-DE"/>
        </w:rPr>
        <w:t>).</w:t>
      </w:r>
    </w:p>
    <w:p w14:paraId="3C402700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DE5EDB" w:rsidRPr="005A5AA1">
        <w:rPr>
          <w:b/>
          <w:lang w:val="de-DE"/>
        </w:rPr>
        <w:t>Die Gewährträgerhaftung für öffentlich-rechtliche Kreditinstitute im Stresstest - Beobachtungen zu einem höchst aktuellen Auslaufmodell</w:t>
      </w:r>
      <w:r w:rsidR="005A5AA1">
        <w:rPr>
          <w:lang w:val="de-DE"/>
        </w:rPr>
        <w:t>,</w:t>
      </w:r>
      <w:r w:rsidR="00DE5EDB" w:rsidRPr="001B79C4">
        <w:rPr>
          <w:lang w:val="de-DE"/>
        </w:rPr>
        <w:t xml:space="preserve"> in: Gedächtnisschrift für Michael Gruson,</w:t>
      </w:r>
      <w:r w:rsidR="00D515E7">
        <w:rPr>
          <w:lang w:val="de-DE"/>
        </w:rPr>
        <w:t xml:space="preserve"> </w:t>
      </w:r>
      <w:r w:rsidR="001B0A6C">
        <w:rPr>
          <w:lang w:val="de-DE"/>
        </w:rPr>
        <w:t>Berlin,</w:t>
      </w:r>
      <w:r w:rsidR="00D515E7" w:rsidRPr="002973E1">
        <w:rPr>
          <w:lang w:val="de-DE"/>
        </w:rPr>
        <w:t xml:space="preserve"> </w:t>
      </w:r>
      <w:r w:rsidR="00DA0E70">
        <w:rPr>
          <w:lang w:val="de-DE"/>
        </w:rPr>
        <w:t>De Gruyter</w:t>
      </w:r>
      <w:r w:rsidR="00D515E7">
        <w:rPr>
          <w:lang w:val="de-DE"/>
        </w:rPr>
        <w:t>,</w:t>
      </w:r>
      <w:r w:rsidR="00DE5EDB" w:rsidRPr="001B79C4">
        <w:rPr>
          <w:lang w:val="de-DE"/>
        </w:rPr>
        <w:t xml:space="preserve"> 2009, </w:t>
      </w:r>
      <w:r w:rsidR="00BA636B">
        <w:rPr>
          <w:lang w:val="de-DE"/>
        </w:rPr>
        <w:t>S. </w:t>
      </w:r>
      <w:r w:rsidR="00DE5EDB" w:rsidRPr="001B79C4">
        <w:rPr>
          <w:lang w:val="de-DE"/>
        </w:rPr>
        <w:t xml:space="preserve">247 ff. </w:t>
      </w:r>
    </w:p>
    <w:p w14:paraId="0424F08A" w14:textId="77777777" w:rsidR="00C84826" w:rsidRDefault="006B0684" w:rsidP="004144EF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C84826" w:rsidRPr="005A5AA1">
        <w:rPr>
          <w:b/>
          <w:lang w:val="de-DE"/>
        </w:rPr>
        <w:t>Drittvergütung von Aufsichtsratsmitgliedern</w:t>
      </w:r>
      <w:r w:rsidR="00C84826" w:rsidRPr="001B79C4">
        <w:rPr>
          <w:lang w:val="de-DE"/>
        </w:rPr>
        <w:t>, in: Festsc</w:t>
      </w:r>
      <w:r w:rsidR="00A94E1B">
        <w:rPr>
          <w:lang w:val="de-DE"/>
        </w:rPr>
        <w:t>hr</w:t>
      </w:r>
      <w:r w:rsidR="001B0A6C">
        <w:rPr>
          <w:lang w:val="de-DE"/>
        </w:rPr>
        <w:t>ift für Eberhard Stilz, München,</w:t>
      </w:r>
      <w:r w:rsidR="00A94E1B">
        <w:rPr>
          <w:lang w:val="de-DE"/>
        </w:rPr>
        <w:t xml:space="preserve"> C.H. Beck, 2014, </w:t>
      </w:r>
      <w:r w:rsidR="00C84826" w:rsidRPr="001B79C4">
        <w:rPr>
          <w:lang w:val="de-DE"/>
        </w:rPr>
        <w:t>S. 329 ff.</w:t>
      </w:r>
    </w:p>
    <w:p w14:paraId="182C80D4" w14:textId="77777777" w:rsidR="00CD75F1" w:rsidRDefault="00CD75F1" w:rsidP="004144EF">
      <w:pPr>
        <w:pStyle w:val="BulletedList"/>
        <w:numPr>
          <w:ilvl w:val="0"/>
          <w:numId w:val="0"/>
        </w:numPr>
        <w:spacing w:after="480"/>
        <w:ind w:left="720" w:hanging="720"/>
        <w:jc w:val="both"/>
        <w:rPr>
          <w:lang w:val="de-DE"/>
        </w:rPr>
      </w:pPr>
      <w:r>
        <w:rPr>
          <w:lang w:val="de-DE"/>
        </w:rPr>
        <w:tab/>
      </w:r>
      <w:r>
        <w:rPr>
          <w:b/>
          <w:lang w:val="de-DE"/>
        </w:rPr>
        <w:t xml:space="preserve">Der zweite Senat als Ersatzgesetzgeber, </w:t>
      </w:r>
      <w:r>
        <w:rPr>
          <w:lang w:val="de-DE"/>
        </w:rPr>
        <w:t>in: Festschrift für Alfred Bergmann, Berlin, De Gruyter, 2018, S. 357 ff.</w:t>
      </w:r>
    </w:p>
    <w:p w14:paraId="7E56FC4F" w14:textId="77777777" w:rsidR="00745342" w:rsidRPr="00745342" w:rsidRDefault="00EF0F4B" w:rsidP="004144EF">
      <w:pPr>
        <w:pStyle w:val="BulletedList"/>
        <w:numPr>
          <w:ilvl w:val="0"/>
          <w:numId w:val="0"/>
        </w:numPr>
        <w:spacing w:after="480"/>
        <w:ind w:left="720" w:hanging="720"/>
        <w:jc w:val="both"/>
        <w:rPr>
          <w:lang w:val="de-DE"/>
        </w:rPr>
      </w:pPr>
      <w:r>
        <w:rPr>
          <w:b/>
          <w:lang w:val="de-DE"/>
        </w:rPr>
        <w:tab/>
      </w:r>
      <w:r w:rsidR="00745342">
        <w:rPr>
          <w:b/>
          <w:lang w:val="de-DE"/>
        </w:rPr>
        <w:t xml:space="preserve">25 Jahre </w:t>
      </w:r>
      <w:r w:rsidR="00745342" w:rsidRPr="00C46F74">
        <w:rPr>
          <w:b/>
          <w:bCs/>
          <w:lang w:val="de-DE"/>
        </w:rPr>
        <w:t xml:space="preserve">Gesetz </w:t>
      </w:r>
      <w:r w:rsidR="00745342">
        <w:rPr>
          <w:b/>
          <w:lang w:val="de-DE"/>
        </w:rPr>
        <w:t xml:space="preserve">zur kleinen AG – Rückschau und Würdigung, </w:t>
      </w:r>
      <w:r w:rsidR="00745342" w:rsidRPr="00745342">
        <w:rPr>
          <w:lang w:val="de-DE"/>
        </w:rPr>
        <w:t xml:space="preserve">in: </w:t>
      </w:r>
      <w:r>
        <w:rPr>
          <w:lang w:val="de-DE"/>
        </w:rPr>
        <w:t xml:space="preserve">Recht und Gesetz, Festschrift für Ulrich Seibert zum 65. Geburtstag, Köln, Dr. Otto Schmidt, 2019, S. 449 ff. </w:t>
      </w:r>
    </w:p>
    <w:p w14:paraId="6A1A64D9" w14:textId="77777777" w:rsidR="00DE5EDB" w:rsidRPr="00CA14DA" w:rsidRDefault="00DE5EDB">
      <w:pPr>
        <w:pStyle w:val="Heading1"/>
        <w:rPr>
          <w:u w:val="single"/>
        </w:rPr>
      </w:pPr>
      <w:r w:rsidRPr="00CA14DA">
        <w:rPr>
          <w:u w:val="single"/>
        </w:rPr>
        <w:t>Urteilsanmerkungen</w:t>
      </w:r>
      <w:r w:rsidR="006B0684" w:rsidRPr="00CA14DA">
        <w:rPr>
          <w:u w:val="single"/>
        </w:rPr>
        <w:br/>
      </w:r>
    </w:p>
    <w:p w14:paraId="119BC64E" w14:textId="77777777" w:rsidR="00DE5EDB" w:rsidRPr="007B23C2" w:rsidRDefault="006B0684" w:rsidP="00536C28">
      <w:pPr>
        <w:pStyle w:val="BulletedList"/>
        <w:numPr>
          <w:ilvl w:val="0"/>
          <w:numId w:val="0"/>
        </w:numPr>
        <w:ind w:left="720" w:hanging="720"/>
        <w:rPr>
          <w:lang w:val="de-DE"/>
        </w:rPr>
      </w:pPr>
      <w:r>
        <w:rPr>
          <w:lang w:val="de-DE"/>
        </w:rPr>
        <w:tab/>
      </w:r>
      <w:r w:rsidR="00DE5EDB" w:rsidRPr="004C311C">
        <w:rPr>
          <w:b/>
          <w:lang w:val="de-DE"/>
        </w:rPr>
        <w:t>Besprechung LG Berlin</w:t>
      </w:r>
      <w:r w:rsidR="00DE5EDB" w:rsidRPr="001B79C4">
        <w:rPr>
          <w:lang w:val="de-DE"/>
        </w:rPr>
        <w:t>, EWiR 1997,</w:t>
      </w:r>
      <w:r w:rsidR="00A6300A">
        <w:rPr>
          <w:lang w:val="de-DE"/>
        </w:rPr>
        <w:t xml:space="preserve"> S. </w:t>
      </w:r>
      <w:r w:rsidR="00DE5EDB" w:rsidRPr="001B79C4">
        <w:rPr>
          <w:lang w:val="de-DE"/>
        </w:rPr>
        <w:t xml:space="preserve">421 </w:t>
      </w:r>
      <w:r w:rsidR="00DE5EDB" w:rsidRPr="007B23C2">
        <w:rPr>
          <w:lang w:val="de-DE"/>
        </w:rPr>
        <w:t>f</w:t>
      </w:r>
      <w:r w:rsidR="00A6300A" w:rsidRPr="007B23C2">
        <w:rPr>
          <w:lang w:val="de-DE"/>
        </w:rPr>
        <w:t>f</w:t>
      </w:r>
      <w:r w:rsidR="00DE5EDB" w:rsidRPr="007B23C2">
        <w:rPr>
          <w:lang w:val="de-DE"/>
        </w:rPr>
        <w:t xml:space="preserve">. </w:t>
      </w:r>
      <w:r w:rsidR="00536C28">
        <w:rPr>
          <w:lang w:val="de-DE"/>
        </w:rPr>
        <w:br/>
        <w:t xml:space="preserve">– </w:t>
      </w:r>
      <w:r w:rsidR="00A6300A" w:rsidRPr="007B23C2">
        <w:rPr>
          <w:lang w:val="de-DE"/>
        </w:rPr>
        <w:t>Aqua Butzke-Werke</w:t>
      </w:r>
      <w:r w:rsidR="00536C28">
        <w:rPr>
          <w:lang w:val="de-DE"/>
        </w:rPr>
        <w:t xml:space="preserve"> –</w:t>
      </w:r>
    </w:p>
    <w:p w14:paraId="20136046" w14:textId="77777777" w:rsidR="00DE5EDB" w:rsidRPr="007B23C2" w:rsidRDefault="006B0684" w:rsidP="00536C28">
      <w:pPr>
        <w:pStyle w:val="BulletedList"/>
        <w:numPr>
          <w:ilvl w:val="0"/>
          <w:numId w:val="0"/>
        </w:numPr>
        <w:ind w:left="720" w:hanging="720"/>
        <w:rPr>
          <w:lang w:val="de-DE"/>
        </w:rPr>
      </w:pPr>
      <w:r w:rsidRPr="007B23C2">
        <w:rPr>
          <w:lang w:val="de-DE"/>
        </w:rPr>
        <w:tab/>
      </w:r>
      <w:r w:rsidR="00DE5EDB" w:rsidRPr="007B23C2">
        <w:rPr>
          <w:b/>
          <w:lang w:val="de-DE"/>
        </w:rPr>
        <w:t>Besprechung OLG</w:t>
      </w:r>
      <w:r w:rsidR="00D52375" w:rsidRPr="007B23C2">
        <w:rPr>
          <w:b/>
          <w:lang w:val="de-DE"/>
        </w:rPr>
        <w:t xml:space="preserve"> Frankfurt</w:t>
      </w:r>
      <w:r w:rsidR="00D52375" w:rsidRPr="007B23C2">
        <w:rPr>
          <w:lang w:val="de-DE"/>
        </w:rPr>
        <w:t>, EWiR 1997,</w:t>
      </w:r>
      <w:r w:rsidR="00A6300A" w:rsidRPr="007B23C2">
        <w:rPr>
          <w:lang w:val="de-DE"/>
        </w:rPr>
        <w:t xml:space="preserve"> S. </w:t>
      </w:r>
      <w:r w:rsidR="00D52375" w:rsidRPr="007B23C2">
        <w:rPr>
          <w:lang w:val="de-DE"/>
        </w:rPr>
        <w:t xml:space="preserve">1039 f. </w:t>
      </w:r>
      <w:r w:rsidR="00536C28">
        <w:rPr>
          <w:lang w:val="de-DE"/>
        </w:rPr>
        <w:br/>
        <w:t>–</w:t>
      </w:r>
      <w:r w:rsidR="00D52375" w:rsidRPr="007B23C2">
        <w:rPr>
          <w:lang w:val="de-DE"/>
        </w:rPr>
        <w:t xml:space="preserve"> Chemische Werke Brockhues</w:t>
      </w:r>
      <w:r w:rsidR="00536C28">
        <w:rPr>
          <w:lang w:val="de-DE"/>
        </w:rPr>
        <w:t xml:space="preserve"> –</w:t>
      </w:r>
    </w:p>
    <w:p w14:paraId="22613147" w14:textId="77777777" w:rsidR="00DE5EDB" w:rsidRPr="007B23C2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7B23C2">
        <w:rPr>
          <w:lang w:val="de-DE"/>
        </w:rPr>
        <w:tab/>
      </w:r>
      <w:r w:rsidR="00DE5EDB" w:rsidRPr="007B23C2">
        <w:rPr>
          <w:b/>
          <w:lang w:val="de-DE"/>
        </w:rPr>
        <w:t>Besprechung BayObLG</w:t>
      </w:r>
      <w:r w:rsidR="00DE5EDB" w:rsidRPr="007B23C2">
        <w:rPr>
          <w:lang w:val="de-DE"/>
        </w:rPr>
        <w:t>, EWiR 1998,</w:t>
      </w:r>
      <w:r w:rsidR="00A6300A" w:rsidRPr="007B23C2">
        <w:rPr>
          <w:lang w:val="de-DE"/>
        </w:rPr>
        <w:t xml:space="preserve"> S. </w:t>
      </w:r>
      <w:r w:rsidR="00DE5EDB" w:rsidRPr="007B23C2">
        <w:rPr>
          <w:lang w:val="de-DE"/>
        </w:rPr>
        <w:t>515 f</w:t>
      </w:r>
      <w:r w:rsidR="00A6300A" w:rsidRPr="007B23C2">
        <w:rPr>
          <w:lang w:val="de-DE"/>
        </w:rPr>
        <w:t>f</w:t>
      </w:r>
      <w:r w:rsidR="00DE5EDB" w:rsidRPr="007B23C2">
        <w:rPr>
          <w:lang w:val="de-DE"/>
        </w:rPr>
        <w:t>.</w:t>
      </w:r>
    </w:p>
    <w:p w14:paraId="05AC2E17" w14:textId="77777777" w:rsidR="00DE5EDB" w:rsidRPr="007B23C2" w:rsidRDefault="006B0684" w:rsidP="00536C28">
      <w:pPr>
        <w:pStyle w:val="BulletedList"/>
        <w:numPr>
          <w:ilvl w:val="0"/>
          <w:numId w:val="0"/>
        </w:numPr>
        <w:ind w:left="720" w:hanging="720"/>
        <w:rPr>
          <w:lang w:val="de-DE"/>
        </w:rPr>
      </w:pPr>
      <w:r w:rsidRPr="007B23C2">
        <w:rPr>
          <w:lang w:val="de-DE"/>
        </w:rPr>
        <w:tab/>
      </w:r>
      <w:r w:rsidR="00DE5EDB" w:rsidRPr="007B23C2">
        <w:rPr>
          <w:b/>
          <w:lang w:val="de-DE"/>
        </w:rPr>
        <w:t xml:space="preserve">Besprechung </w:t>
      </w:r>
      <w:r w:rsidR="00D52375" w:rsidRPr="007B23C2">
        <w:rPr>
          <w:b/>
          <w:lang w:val="de-DE"/>
        </w:rPr>
        <w:t>LG München I</w:t>
      </w:r>
      <w:r w:rsidR="00D52375" w:rsidRPr="007B23C2">
        <w:rPr>
          <w:lang w:val="de-DE"/>
        </w:rPr>
        <w:t>, EWiR 2000,</w:t>
      </w:r>
      <w:r w:rsidR="00A6300A" w:rsidRPr="007B23C2">
        <w:rPr>
          <w:lang w:val="de-DE"/>
        </w:rPr>
        <w:t xml:space="preserve"> S. </w:t>
      </w:r>
      <w:r w:rsidR="00D52375" w:rsidRPr="007B23C2">
        <w:rPr>
          <w:lang w:val="de-DE"/>
        </w:rPr>
        <w:t>75 f</w:t>
      </w:r>
      <w:r w:rsidR="00A6300A" w:rsidRPr="007B23C2">
        <w:rPr>
          <w:lang w:val="de-DE"/>
        </w:rPr>
        <w:t>f</w:t>
      </w:r>
      <w:r w:rsidR="00D52375" w:rsidRPr="007B23C2">
        <w:rPr>
          <w:lang w:val="de-DE"/>
        </w:rPr>
        <w:t xml:space="preserve">. </w:t>
      </w:r>
      <w:r w:rsidR="00536C28">
        <w:rPr>
          <w:lang w:val="de-DE"/>
        </w:rPr>
        <w:br/>
        <w:t>–</w:t>
      </w:r>
      <w:r w:rsidR="00D52375" w:rsidRPr="007B23C2">
        <w:rPr>
          <w:lang w:val="de-DE"/>
        </w:rPr>
        <w:t xml:space="preserve"> Macroton</w:t>
      </w:r>
      <w:r w:rsidR="00536C28">
        <w:rPr>
          <w:lang w:val="de-DE"/>
        </w:rPr>
        <w:t xml:space="preserve"> –</w:t>
      </w:r>
    </w:p>
    <w:p w14:paraId="3970CBCC" w14:textId="77777777" w:rsidR="00DE5EDB" w:rsidRPr="007B23C2" w:rsidRDefault="006B0684" w:rsidP="00536C28">
      <w:pPr>
        <w:pStyle w:val="BulletedList"/>
        <w:numPr>
          <w:ilvl w:val="0"/>
          <w:numId w:val="0"/>
        </w:numPr>
        <w:ind w:left="720" w:hanging="720"/>
        <w:rPr>
          <w:lang w:val="de-DE"/>
        </w:rPr>
      </w:pPr>
      <w:r w:rsidRPr="007B23C2">
        <w:rPr>
          <w:lang w:val="de-DE"/>
        </w:rPr>
        <w:tab/>
      </w:r>
      <w:r w:rsidR="00DE5EDB" w:rsidRPr="007B23C2">
        <w:rPr>
          <w:b/>
          <w:lang w:val="de-DE"/>
        </w:rPr>
        <w:t>Besprechung LG</w:t>
      </w:r>
      <w:r w:rsidR="00D52375" w:rsidRPr="007B23C2">
        <w:rPr>
          <w:b/>
          <w:lang w:val="de-DE"/>
        </w:rPr>
        <w:t xml:space="preserve"> Düsseldorf</w:t>
      </w:r>
      <w:r w:rsidR="00D52375" w:rsidRPr="007B23C2">
        <w:rPr>
          <w:lang w:val="de-DE"/>
        </w:rPr>
        <w:t xml:space="preserve">, EWiR 2000, </w:t>
      </w:r>
      <w:r w:rsidR="00A6300A" w:rsidRPr="007B23C2">
        <w:rPr>
          <w:lang w:val="de-DE"/>
        </w:rPr>
        <w:t xml:space="preserve">S. </w:t>
      </w:r>
      <w:r w:rsidR="00D52375" w:rsidRPr="007B23C2">
        <w:rPr>
          <w:lang w:val="de-DE"/>
        </w:rPr>
        <w:t>413 f</w:t>
      </w:r>
      <w:r w:rsidR="00A6300A" w:rsidRPr="007B23C2">
        <w:rPr>
          <w:lang w:val="de-DE"/>
        </w:rPr>
        <w:t>f</w:t>
      </w:r>
      <w:r w:rsidR="00D52375" w:rsidRPr="007B23C2">
        <w:rPr>
          <w:lang w:val="de-DE"/>
        </w:rPr>
        <w:t xml:space="preserve">. </w:t>
      </w:r>
      <w:r w:rsidR="00536C28">
        <w:rPr>
          <w:lang w:val="de-DE"/>
        </w:rPr>
        <w:br/>
        <w:t>–</w:t>
      </w:r>
      <w:r w:rsidR="00D52375" w:rsidRPr="007B23C2">
        <w:rPr>
          <w:lang w:val="de-DE"/>
        </w:rPr>
        <w:t xml:space="preserve"> </w:t>
      </w:r>
      <w:r w:rsidR="00A6300A" w:rsidRPr="007B23C2">
        <w:rPr>
          <w:lang w:val="de-DE"/>
        </w:rPr>
        <w:t>Mannesmann/Vodafone</w:t>
      </w:r>
      <w:r w:rsidR="00536C28">
        <w:rPr>
          <w:lang w:val="de-DE"/>
        </w:rPr>
        <w:t xml:space="preserve"> –</w:t>
      </w:r>
    </w:p>
    <w:p w14:paraId="374727BA" w14:textId="77777777" w:rsidR="00DE5EDB" w:rsidRPr="004C311C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7B23C2">
        <w:rPr>
          <w:lang w:val="de-DE"/>
        </w:rPr>
        <w:tab/>
      </w:r>
      <w:r w:rsidR="00DE5EDB" w:rsidRPr="007B23C2">
        <w:rPr>
          <w:b/>
          <w:lang w:val="de-DE"/>
        </w:rPr>
        <w:t>Besprechung BGH</w:t>
      </w:r>
      <w:r w:rsidR="00DE5EDB" w:rsidRPr="007B23C2">
        <w:rPr>
          <w:lang w:val="de-DE"/>
        </w:rPr>
        <w:t>, EWiR 2004,</w:t>
      </w:r>
      <w:r w:rsidR="00A6300A" w:rsidRPr="007B23C2">
        <w:rPr>
          <w:lang w:val="de-DE"/>
        </w:rPr>
        <w:t xml:space="preserve"> S. </w:t>
      </w:r>
      <w:r w:rsidR="00DE5EDB" w:rsidRPr="007B23C2">
        <w:rPr>
          <w:lang w:val="de-DE"/>
        </w:rPr>
        <w:t>65 f</w:t>
      </w:r>
      <w:r w:rsidR="00A6300A" w:rsidRPr="007B23C2">
        <w:rPr>
          <w:lang w:val="de-DE"/>
        </w:rPr>
        <w:t>f</w:t>
      </w:r>
      <w:r w:rsidR="00DE5EDB" w:rsidRPr="007B23C2">
        <w:rPr>
          <w:lang w:val="de-DE"/>
        </w:rPr>
        <w:t>.</w:t>
      </w:r>
    </w:p>
    <w:p w14:paraId="3FCBE383" w14:textId="77777777" w:rsidR="00DE5EDB" w:rsidRPr="004C311C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4C311C">
        <w:rPr>
          <w:lang w:val="de-DE"/>
        </w:rPr>
        <w:tab/>
      </w:r>
      <w:r w:rsidR="00DE5EDB" w:rsidRPr="004C311C">
        <w:rPr>
          <w:b/>
          <w:lang w:val="de-DE"/>
        </w:rPr>
        <w:t>Besprechung OLG Koblenz</w:t>
      </w:r>
      <w:r w:rsidR="00DE5EDB" w:rsidRPr="004C311C">
        <w:rPr>
          <w:lang w:val="de-DE"/>
        </w:rPr>
        <w:t>, EWiR 2006,</w:t>
      </w:r>
      <w:r w:rsidR="00A6300A" w:rsidRPr="004C311C">
        <w:rPr>
          <w:lang w:val="de-DE"/>
        </w:rPr>
        <w:t xml:space="preserve"> S. </w:t>
      </w:r>
      <w:r w:rsidR="00DE5EDB" w:rsidRPr="004C311C">
        <w:rPr>
          <w:lang w:val="de-DE"/>
        </w:rPr>
        <w:t>257 f</w:t>
      </w:r>
      <w:r w:rsidR="00A6300A" w:rsidRPr="004C311C">
        <w:rPr>
          <w:lang w:val="de-DE"/>
        </w:rPr>
        <w:t>f.</w:t>
      </w:r>
    </w:p>
    <w:p w14:paraId="0BE3E35F" w14:textId="77777777" w:rsidR="00DE5EDB" w:rsidRPr="004C311C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4C311C">
        <w:rPr>
          <w:lang w:val="de-DE"/>
        </w:rPr>
        <w:tab/>
      </w:r>
      <w:r w:rsidR="00DE5EDB" w:rsidRPr="004C311C">
        <w:rPr>
          <w:b/>
          <w:lang w:val="de-DE"/>
        </w:rPr>
        <w:t>Besprechung OLG München</w:t>
      </w:r>
      <w:r w:rsidR="00DE5EDB" w:rsidRPr="004C311C">
        <w:rPr>
          <w:lang w:val="de-DE"/>
        </w:rPr>
        <w:t>, EWiR 2006,</w:t>
      </w:r>
      <w:r w:rsidR="00A6300A" w:rsidRPr="004C311C">
        <w:rPr>
          <w:lang w:val="de-DE"/>
        </w:rPr>
        <w:t xml:space="preserve"> S. 545 ff.</w:t>
      </w:r>
      <w:r w:rsidR="00083C6A">
        <w:rPr>
          <w:lang w:val="de-DE"/>
        </w:rPr>
        <w:t>,</w:t>
      </w:r>
      <w:r w:rsidR="00A6300A" w:rsidRPr="004C311C">
        <w:rPr>
          <w:lang w:val="de-DE"/>
        </w:rPr>
        <w:t xml:space="preserve"> (zusammen mit </w:t>
      </w:r>
      <w:r w:rsidR="00A6300A" w:rsidRPr="002271C5">
        <w:rPr>
          <w:i/>
          <w:lang w:val="de-DE"/>
        </w:rPr>
        <w:t>Riedel</w:t>
      </w:r>
      <w:r w:rsidR="00A6300A" w:rsidRPr="004C311C">
        <w:rPr>
          <w:lang w:val="de-DE"/>
        </w:rPr>
        <w:t>)</w:t>
      </w:r>
      <w:r w:rsidR="00083C6A">
        <w:rPr>
          <w:lang w:val="de-DE"/>
        </w:rPr>
        <w:t>.</w:t>
      </w:r>
    </w:p>
    <w:p w14:paraId="409671A1" w14:textId="77777777" w:rsidR="00DE5EDB" w:rsidRPr="004C311C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4C311C">
        <w:rPr>
          <w:lang w:val="de-DE"/>
        </w:rPr>
        <w:lastRenderedPageBreak/>
        <w:tab/>
      </w:r>
      <w:r w:rsidR="00DE5EDB" w:rsidRPr="004C311C">
        <w:rPr>
          <w:b/>
          <w:lang w:val="de-DE"/>
        </w:rPr>
        <w:t>Besprechung BGH</w:t>
      </w:r>
      <w:r w:rsidR="00DE5EDB" w:rsidRPr="004C311C">
        <w:rPr>
          <w:lang w:val="de-DE"/>
        </w:rPr>
        <w:t>, EWiR 2009,</w:t>
      </w:r>
      <w:r w:rsidR="00A6300A" w:rsidRPr="004C311C">
        <w:rPr>
          <w:lang w:val="de-DE"/>
        </w:rPr>
        <w:t xml:space="preserve"> S. </w:t>
      </w:r>
      <w:r w:rsidR="00DE5EDB" w:rsidRPr="004C311C">
        <w:rPr>
          <w:lang w:val="de-DE"/>
        </w:rPr>
        <w:t>493</w:t>
      </w:r>
      <w:r w:rsidR="00A6300A" w:rsidRPr="004C311C">
        <w:rPr>
          <w:lang w:val="de-DE"/>
        </w:rPr>
        <w:t xml:space="preserve"> ff.</w:t>
      </w:r>
      <w:r w:rsidR="00083C6A">
        <w:rPr>
          <w:lang w:val="de-DE"/>
        </w:rPr>
        <w:t>,</w:t>
      </w:r>
      <w:r w:rsidR="00DE5EDB" w:rsidRPr="004C311C">
        <w:rPr>
          <w:lang w:val="de-DE"/>
        </w:rPr>
        <w:t xml:space="preserve"> (zusammen mit </w:t>
      </w:r>
      <w:r w:rsidR="00DE5EDB" w:rsidRPr="002271C5">
        <w:rPr>
          <w:i/>
          <w:lang w:val="de-DE"/>
        </w:rPr>
        <w:t>Giershausen</w:t>
      </w:r>
      <w:r w:rsidR="00DE5EDB" w:rsidRPr="004C311C">
        <w:rPr>
          <w:lang w:val="de-DE"/>
        </w:rPr>
        <w:t>).</w:t>
      </w:r>
    </w:p>
    <w:p w14:paraId="6691F737" w14:textId="77777777" w:rsidR="00DE5EDB" w:rsidRPr="004C311C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4C311C">
        <w:rPr>
          <w:lang w:val="de-DE"/>
        </w:rPr>
        <w:tab/>
      </w:r>
      <w:r w:rsidR="00DE5EDB" w:rsidRPr="004C311C">
        <w:rPr>
          <w:b/>
          <w:lang w:val="de-DE"/>
        </w:rPr>
        <w:t>Besprechung BVerfG</w:t>
      </w:r>
      <w:r w:rsidR="00DE5EDB" w:rsidRPr="004C311C">
        <w:rPr>
          <w:lang w:val="de-DE"/>
        </w:rPr>
        <w:t>, EWiR 2010,</w:t>
      </w:r>
      <w:r w:rsidR="00A6300A" w:rsidRPr="004C311C">
        <w:rPr>
          <w:lang w:val="de-DE"/>
        </w:rPr>
        <w:t xml:space="preserve"> S. </w:t>
      </w:r>
      <w:r w:rsidR="00DE5EDB" w:rsidRPr="004C311C">
        <w:rPr>
          <w:lang w:val="de-DE"/>
        </w:rPr>
        <w:t>307</w:t>
      </w:r>
      <w:r w:rsidR="00A6300A" w:rsidRPr="004C311C">
        <w:rPr>
          <w:lang w:val="de-DE"/>
        </w:rPr>
        <w:t xml:space="preserve"> ff.</w:t>
      </w:r>
      <w:r w:rsidR="00083C6A">
        <w:rPr>
          <w:lang w:val="de-DE"/>
        </w:rPr>
        <w:t>,</w:t>
      </w:r>
      <w:r w:rsidR="00DE5EDB" w:rsidRPr="004C311C">
        <w:rPr>
          <w:lang w:val="de-DE"/>
        </w:rPr>
        <w:t xml:space="preserve"> (zusammen mit Graf </w:t>
      </w:r>
      <w:r w:rsidR="00DE5EDB" w:rsidRPr="001B0A6C">
        <w:rPr>
          <w:i/>
          <w:lang w:val="de-DE"/>
        </w:rPr>
        <w:t>von</w:t>
      </w:r>
      <w:r w:rsidR="00DE5EDB" w:rsidRPr="004C311C">
        <w:rPr>
          <w:lang w:val="de-DE"/>
        </w:rPr>
        <w:t xml:space="preserve"> </w:t>
      </w:r>
      <w:r w:rsidR="00DE5EDB" w:rsidRPr="002271C5">
        <w:rPr>
          <w:i/>
          <w:lang w:val="de-DE"/>
        </w:rPr>
        <w:t>Hardenberg</w:t>
      </w:r>
      <w:r w:rsidR="00DE5EDB" w:rsidRPr="004C311C">
        <w:rPr>
          <w:lang w:val="de-DE"/>
        </w:rPr>
        <w:t>).</w:t>
      </w:r>
    </w:p>
    <w:p w14:paraId="08C5EEFF" w14:textId="77777777" w:rsidR="00492476" w:rsidRPr="004C311C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4C311C">
        <w:rPr>
          <w:lang w:val="de-DE"/>
        </w:rPr>
        <w:tab/>
      </w:r>
      <w:r w:rsidR="00D52375" w:rsidRPr="004C311C">
        <w:rPr>
          <w:b/>
          <w:lang w:val="de-DE"/>
        </w:rPr>
        <w:t>Besprechung BGH</w:t>
      </w:r>
      <w:r w:rsidR="00D52375" w:rsidRPr="004C311C">
        <w:rPr>
          <w:lang w:val="de-DE"/>
        </w:rPr>
        <w:t>, EWi</w:t>
      </w:r>
      <w:r w:rsidR="00492476" w:rsidRPr="004C311C">
        <w:rPr>
          <w:lang w:val="de-DE"/>
        </w:rPr>
        <w:t>R 2015,</w:t>
      </w:r>
      <w:r w:rsidR="00A6300A" w:rsidRPr="004C311C">
        <w:rPr>
          <w:lang w:val="de-DE"/>
        </w:rPr>
        <w:t xml:space="preserve"> S. </w:t>
      </w:r>
      <w:r w:rsidR="00492476" w:rsidRPr="004C311C">
        <w:rPr>
          <w:lang w:val="de-DE"/>
        </w:rPr>
        <w:t>3</w:t>
      </w:r>
      <w:r w:rsidR="00A6300A" w:rsidRPr="004C311C">
        <w:rPr>
          <w:lang w:val="de-DE"/>
        </w:rPr>
        <w:t xml:space="preserve"> ff.</w:t>
      </w:r>
      <w:r w:rsidR="00083C6A">
        <w:rPr>
          <w:lang w:val="de-DE"/>
        </w:rPr>
        <w:t>,</w:t>
      </w:r>
      <w:r w:rsidR="00492476" w:rsidRPr="004C311C">
        <w:rPr>
          <w:lang w:val="de-DE"/>
        </w:rPr>
        <w:t xml:space="preserve"> (zusammen mit </w:t>
      </w:r>
      <w:r w:rsidR="00492476" w:rsidRPr="002271C5">
        <w:rPr>
          <w:i/>
          <w:lang w:val="de-DE"/>
        </w:rPr>
        <w:t>Reutershahn</w:t>
      </w:r>
      <w:r w:rsidR="00492476" w:rsidRPr="004C311C">
        <w:rPr>
          <w:lang w:val="de-DE"/>
        </w:rPr>
        <w:t>)</w:t>
      </w:r>
      <w:r w:rsidR="00083C6A">
        <w:rPr>
          <w:lang w:val="de-DE"/>
        </w:rPr>
        <w:t>.</w:t>
      </w:r>
    </w:p>
    <w:p w14:paraId="2C6E6356" w14:textId="77777777" w:rsidR="00D52375" w:rsidRDefault="006B0684" w:rsidP="00DA25E4">
      <w:pPr>
        <w:pStyle w:val="BulletedList"/>
        <w:numPr>
          <w:ilvl w:val="0"/>
          <w:numId w:val="0"/>
        </w:numPr>
        <w:spacing w:after="480"/>
        <w:ind w:left="720" w:hanging="720"/>
        <w:jc w:val="both"/>
        <w:rPr>
          <w:lang w:val="de-DE"/>
        </w:rPr>
      </w:pPr>
      <w:r w:rsidRPr="004C311C">
        <w:rPr>
          <w:lang w:val="de-DE"/>
        </w:rPr>
        <w:tab/>
      </w:r>
      <w:r w:rsidR="00D52375" w:rsidRPr="004C311C">
        <w:rPr>
          <w:b/>
          <w:lang w:val="de-DE"/>
        </w:rPr>
        <w:t>Besprechung BGH</w:t>
      </w:r>
      <w:r w:rsidR="00D52375" w:rsidRPr="004C311C">
        <w:rPr>
          <w:lang w:val="de-DE"/>
        </w:rPr>
        <w:t xml:space="preserve">, EWiR 2015, </w:t>
      </w:r>
      <w:r w:rsidR="00A6300A" w:rsidRPr="004C311C">
        <w:rPr>
          <w:lang w:val="de-DE"/>
        </w:rPr>
        <w:t xml:space="preserve">S. </w:t>
      </w:r>
      <w:r w:rsidR="00D52375" w:rsidRPr="004C311C">
        <w:rPr>
          <w:lang w:val="de-DE"/>
        </w:rPr>
        <w:t>501</w:t>
      </w:r>
      <w:r w:rsidR="00A6300A" w:rsidRPr="004C311C">
        <w:rPr>
          <w:lang w:val="de-DE"/>
        </w:rPr>
        <w:t xml:space="preserve"> ff.</w:t>
      </w:r>
      <w:r w:rsidR="00083C6A">
        <w:rPr>
          <w:lang w:val="de-DE"/>
        </w:rPr>
        <w:t>,</w:t>
      </w:r>
      <w:r w:rsidR="00D52375" w:rsidRPr="004C311C">
        <w:rPr>
          <w:lang w:val="de-DE"/>
        </w:rPr>
        <w:t xml:space="preserve"> (zusammen mit </w:t>
      </w:r>
      <w:r w:rsidR="00D52375" w:rsidRPr="002271C5">
        <w:rPr>
          <w:i/>
          <w:lang w:val="de-DE"/>
        </w:rPr>
        <w:t>Rommelfanger</w:t>
      </w:r>
      <w:r w:rsidR="00D52375" w:rsidRPr="004C311C">
        <w:rPr>
          <w:lang w:val="de-DE"/>
        </w:rPr>
        <w:t>).</w:t>
      </w:r>
    </w:p>
    <w:p w14:paraId="21E5A4A6" w14:textId="77777777" w:rsidR="00DE5EDB" w:rsidRPr="006B0684" w:rsidRDefault="00DE5EDB">
      <w:pPr>
        <w:pStyle w:val="Heading1"/>
        <w:rPr>
          <w:u w:val="single"/>
        </w:rPr>
      </w:pPr>
      <w:r w:rsidRPr="006B0684">
        <w:rPr>
          <w:u w:val="single"/>
        </w:rPr>
        <w:t>Rezensionen und kleinere Beiträge</w:t>
      </w:r>
      <w:r w:rsidR="006B0684" w:rsidRPr="006B0684">
        <w:rPr>
          <w:u w:val="single"/>
        </w:rPr>
        <w:br/>
      </w:r>
    </w:p>
    <w:p w14:paraId="01EA35F2" w14:textId="77777777" w:rsidR="00DE5EDB" w:rsidRPr="004C311C" w:rsidRDefault="00A35E09" w:rsidP="004C311C">
      <w:pPr>
        <w:pStyle w:val="BulletedList"/>
        <w:numPr>
          <w:ilvl w:val="0"/>
          <w:numId w:val="0"/>
        </w:numPr>
        <w:ind w:left="720" w:hanging="720"/>
        <w:jc w:val="both"/>
        <w:rPr>
          <w:b/>
          <w:lang w:val="de-DE"/>
        </w:rPr>
      </w:pPr>
      <w:r>
        <w:rPr>
          <w:b/>
          <w:lang w:val="de-DE"/>
        </w:rPr>
        <w:tab/>
      </w:r>
      <w:bookmarkStart w:id="2" w:name="_Hlk147753681"/>
      <w:r w:rsidR="002460EC" w:rsidRPr="004C311C">
        <w:rPr>
          <w:b/>
          <w:lang w:val="de-DE"/>
        </w:rPr>
        <w:t>Assmann/P</w:t>
      </w:r>
      <w:r w:rsidR="004C311C">
        <w:rPr>
          <w:b/>
          <w:lang w:val="de-DE"/>
        </w:rPr>
        <w:t>ötzsch/U.H. Schneider:</w:t>
      </w:r>
      <w:r w:rsidR="00DE5EDB" w:rsidRPr="004C311C">
        <w:rPr>
          <w:b/>
          <w:lang w:val="de-DE"/>
        </w:rPr>
        <w:t xml:space="preserve"> Wertpapier- und Übernahmegese</w:t>
      </w:r>
      <w:r w:rsidR="002460EC" w:rsidRPr="004C311C">
        <w:rPr>
          <w:b/>
          <w:lang w:val="de-DE"/>
        </w:rPr>
        <w:t>tz</w:t>
      </w:r>
      <w:r w:rsidR="002460EC" w:rsidRPr="004C311C">
        <w:rPr>
          <w:lang w:val="de-DE"/>
        </w:rPr>
        <w:t>,</w:t>
      </w:r>
      <w:r w:rsidR="002460EC" w:rsidRPr="00164179">
        <w:rPr>
          <w:lang w:val="de-DE"/>
        </w:rPr>
        <w:t xml:space="preserve"> AG 2005,</w:t>
      </w:r>
      <w:r w:rsidR="00164179" w:rsidRPr="00164179">
        <w:rPr>
          <w:lang w:val="de-DE"/>
        </w:rPr>
        <w:t xml:space="preserve"> S.</w:t>
      </w:r>
      <w:r w:rsidR="00B810C1">
        <w:rPr>
          <w:lang w:val="de-DE"/>
        </w:rPr>
        <w:t> </w:t>
      </w:r>
      <w:r w:rsidR="002460EC" w:rsidRPr="00164179">
        <w:rPr>
          <w:lang w:val="de-DE"/>
        </w:rPr>
        <w:t>855 </w:t>
      </w:r>
      <w:r w:rsidR="00DE5EDB" w:rsidRPr="00164179">
        <w:rPr>
          <w:lang w:val="de-DE"/>
        </w:rPr>
        <w:t>f</w:t>
      </w:r>
      <w:r w:rsidR="00164179" w:rsidRPr="00164179">
        <w:rPr>
          <w:lang w:val="de-DE"/>
        </w:rPr>
        <w:t>f</w:t>
      </w:r>
      <w:r w:rsidR="00DE5EDB" w:rsidRPr="00164179">
        <w:rPr>
          <w:lang w:val="de-DE"/>
        </w:rPr>
        <w:t>.</w:t>
      </w:r>
      <w:bookmarkEnd w:id="2"/>
    </w:p>
    <w:p w14:paraId="11243CE4" w14:textId="77777777" w:rsidR="00DE5EDB" w:rsidRPr="006B068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 w:rsidRPr="004C311C">
        <w:rPr>
          <w:lang w:val="de-DE"/>
        </w:rPr>
        <w:tab/>
      </w:r>
      <w:r w:rsidR="004C311C" w:rsidRPr="004C311C">
        <w:rPr>
          <w:b/>
          <w:lang w:val="de-DE"/>
        </w:rPr>
        <w:t>Lutter/Hommelhoff (Hrsg.):</w:t>
      </w:r>
      <w:r w:rsidR="00DE5EDB" w:rsidRPr="004C311C">
        <w:rPr>
          <w:b/>
          <w:lang w:val="de-DE"/>
        </w:rPr>
        <w:t xml:space="preserve"> SE-Kommentar</w:t>
      </w:r>
      <w:r w:rsidR="00DE5EDB" w:rsidRPr="004C311C">
        <w:rPr>
          <w:lang w:val="de-DE"/>
        </w:rPr>
        <w:t xml:space="preserve">, </w:t>
      </w:r>
      <w:r w:rsidR="004C311C">
        <w:rPr>
          <w:lang w:val="de-DE"/>
        </w:rPr>
        <w:t xml:space="preserve">ZHR 172 </w:t>
      </w:r>
      <w:r w:rsidR="00083C6A">
        <w:rPr>
          <w:lang w:val="de-DE"/>
        </w:rPr>
        <w:t>(</w:t>
      </w:r>
      <w:r w:rsidR="004C311C">
        <w:rPr>
          <w:lang w:val="de-DE"/>
        </w:rPr>
        <w:t>2008</w:t>
      </w:r>
      <w:r w:rsidR="00083C6A">
        <w:rPr>
          <w:lang w:val="de-DE"/>
        </w:rPr>
        <w:t>)</w:t>
      </w:r>
      <w:r w:rsidR="004C311C">
        <w:rPr>
          <w:lang w:val="de-DE"/>
        </w:rPr>
        <w:t>,</w:t>
      </w:r>
      <w:r w:rsidR="00DE5EDB" w:rsidRPr="004C311C">
        <w:rPr>
          <w:lang w:val="de-DE"/>
        </w:rPr>
        <w:t xml:space="preserve"> </w:t>
      </w:r>
      <w:r w:rsidR="004C311C">
        <w:rPr>
          <w:lang w:val="de-DE"/>
        </w:rPr>
        <w:t xml:space="preserve">S. </w:t>
      </w:r>
      <w:r w:rsidR="00DE5EDB" w:rsidRPr="004C311C">
        <w:rPr>
          <w:lang w:val="de-DE"/>
        </w:rPr>
        <w:t>484 ff.</w:t>
      </w:r>
      <w:r w:rsidR="00DE5EDB" w:rsidRPr="006B0684">
        <w:rPr>
          <w:lang w:val="de-DE"/>
        </w:rPr>
        <w:t xml:space="preserve"> </w:t>
      </w:r>
    </w:p>
    <w:p w14:paraId="36409E3E" w14:textId="77777777" w:rsidR="00FA3D73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FA3D73" w:rsidRPr="00164179">
        <w:rPr>
          <w:b/>
          <w:lang w:val="de-DE"/>
        </w:rPr>
        <w:t>M&amp;A-Transaktionen ausländischer Investoren in Deutschland</w:t>
      </w:r>
      <w:r w:rsidR="00FA3D73" w:rsidRPr="001B79C4">
        <w:rPr>
          <w:lang w:val="de-DE"/>
        </w:rPr>
        <w:t>,</w:t>
      </w:r>
      <w:r w:rsidR="00164179">
        <w:rPr>
          <w:lang w:val="de-DE"/>
        </w:rPr>
        <w:t xml:space="preserve"> </w:t>
      </w:r>
      <w:r w:rsidR="00FA3D73" w:rsidRPr="001B79C4">
        <w:rPr>
          <w:lang w:val="de-DE"/>
        </w:rPr>
        <w:t>CFL 2011</w:t>
      </w:r>
      <w:r w:rsidR="00164179">
        <w:rPr>
          <w:lang w:val="de-DE"/>
        </w:rPr>
        <w:t>,</w:t>
      </w:r>
      <w:r w:rsidR="00FA3D73" w:rsidRPr="001B79C4">
        <w:rPr>
          <w:lang w:val="de-DE"/>
        </w:rPr>
        <w:t xml:space="preserve"> </w:t>
      </w:r>
      <w:r w:rsidR="00164179">
        <w:rPr>
          <w:lang w:val="de-DE"/>
        </w:rPr>
        <w:t xml:space="preserve">S. </w:t>
      </w:r>
      <w:r w:rsidR="00FA3D73" w:rsidRPr="001B79C4">
        <w:rPr>
          <w:lang w:val="de-DE"/>
        </w:rPr>
        <w:t>179 ff.</w:t>
      </w:r>
    </w:p>
    <w:p w14:paraId="68038FD5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6E2D73" w:rsidRPr="00164179">
        <w:rPr>
          <w:b/>
          <w:lang w:val="de-DE"/>
        </w:rPr>
        <w:t xml:space="preserve">Die </w:t>
      </w:r>
      <w:r w:rsidR="00DE5EDB" w:rsidRPr="00164179">
        <w:rPr>
          <w:b/>
          <w:lang w:val="de-DE"/>
        </w:rPr>
        <w:t>Aktienrechtsnovelle 2012</w:t>
      </w:r>
      <w:r w:rsidR="006E2D73" w:rsidRPr="00164179">
        <w:rPr>
          <w:b/>
          <w:lang w:val="de-DE"/>
        </w:rPr>
        <w:t xml:space="preserve"> auf dem Prüfstand</w:t>
      </w:r>
      <w:r w:rsidR="00DE5EDB" w:rsidRPr="00164179">
        <w:rPr>
          <w:b/>
          <w:lang w:val="de-DE"/>
        </w:rPr>
        <w:t>: Neuregelung der Wandelschuldverschreibung</w:t>
      </w:r>
      <w:r w:rsidR="00DE5EDB" w:rsidRPr="001B79C4">
        <w:rPr>
          <w:lang w:val="de-DE"/>
        </w:rPr>
        <w:t xml:space="preserve">, DB 2012, </w:t>
      </w:r>
      <w:r w:rsidR="006E2D73" w:rsidRPr="001B79C4">
        <w:rPr>
          <w:lang w:val="de-DE"/>
        </w:rPr>
        <w:t>Beilage Standpunkte,</w:t>
      </w:r>
      <w:r w:rsidR="00164179">
        <w:rPr>
          <w:lang w:val="de-DE"/>
        </w:rPr>
        <w:t xml:space="preserve"> </w:t>
      </w:r>
      <w:r w:rsidR="001F61B6" w:rsidRPr="001B79C4">
        <w:rPr>
          <w:lang w:val="de-DE"/>
        </w:rPr>
        <w:t>S. </w:t>
      </w:r>
      <w:r w:rsidR="006E2D73" w:rsidRPr="001B79C4">
        <w:rPr>
          <w:lang w:val="de-DE"/>
        </w:rPr>
        <w:t>19 f</w:t>
      </w:r>
      <w:r w:rsidR="00164179">
        <w:rPr>
          <w:lang w:val="de-DE"/>
        </w:rPr>
        <w:t>f</w:t>
      </w:r>
      <w:r w:rsidR="00DE5EDB" w:rsidRPr="001B79C4">
        <w:rPr>
          <w:lang w:val="de-DE"/>
        </w:rPr>
        <w:t>.</w:t>
      </w:r>
    </w:p>
    <w:p w14:paraId="6BB1BA04" w14:textId="77777777" w:rsidR="00DE5EDB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2460EC" w:rsidRPr="004C311C">
        <w:rPr>
          <w:b/>
          <w:lang w:val="de-DE"/>
        </w:rPr>
        <w:t>Assmann/U</w:t>
      </w:r>
      <w:r w:rsidR="004C311C" w:rsidRPr="004C311C">
        <w:rPr>
          <w:b/>
          <w:lang w:val="de-DE"/>
        </w:rPr>
        <w:t>.H. Schneider (Hrsg.):</w:t>
      </w:r>
      <w:r w:rsidR="002460EC" w:rsidRPr="004C311C">
        <w:rPr>
          <w:b/>
          <w:lang w:val="de-DE"/>
        </w:rPr>
        <w:t xml:space="preserve"> Wertpapierhandelsgesetz, Kommentar, 6. Aufl</w:t>
      </w:r>
      <w:r w:rsidR="000C1CC9" w:rsidRPr="004C311C">
        <w:rPr>
          <w:b/>
          <w:lang w:val="de-DE"/>
        </w:rPr>
        <w:t>.</w:t>
      </w:r>
      <w:r w:rsidR="004C311C" w:rsidRPr="004C311C">
        <w:rPr>
          <w:lang w:val="de-DE"/>
        </w:rPr>
        <w:t xml:space="preserve">, </w:t>
      </w:r>
      <w:r w:rsidR="00083C6A">
        <w:rPr>
          <w:lang w:val="de-DE"/>
        </w:rPr>
        <w:t>ZHR </w:t>
      </w:r>
      <w:r w:rsidR="00164179" w:rsidRPr="004C311C">
        <w:rPr>
          <w:lang w:val="de-DE"/>
        </w:rPr>
        <w:t>176</w:t>
      </w:r>
      <w:r w:rsidR="00083C6A">
        <w:rPr>
          <w:lang w:val="de-DE"/>
        </w:rPr>
        <w:t xml:space="preserve"> (</w:t>
      </w:r>
      <w:r w:rsidR="00164179" w:rsidRPr="004C311C">
        <w:rPr>
          <w:lang w:val="de-DE"/>
        </w:rPr>
        <w:t>2012</w:t>
      </w:r>
      <w:r w:rsidR="00083C6A">
        <w:rPr>
          <w:lang w:val="de-DE"/>
        </w:rPr>
        <w:t>)</w:t>
      </w:r>
      <w:r w:rsidR="00164179" w:rsidRPr="004C311C">
        <w:rPr>
          <w:lang w:val="de-DE"/>
        </w:rPr>
        <w:t>,</w:t>
      </w:r>
      <w:r w:rsidR="00492476" w:rsidRPr="004C311C">
        <w:rPr>
          <w:lang w:val="de-DE"/>
        </w:rPr>
        <w:t xml:space="preserve"> </w:t>
      </w:r>
      <w:r w:rsidR="00164179" w:rsidRPr="004C311C">
        <w:rPr>
          <w:lang w:val="de-DE"/>
        </w:rPr>
        <w:t xml:space="preserve">S. </w:t>
      </w:r>
      <w:r w:rsidR="00492476" w:rsidRPr="004C311C">
        <w:rPr>
          <w:lang w:val="de-DE"/>
        </w:rPr>
        <w:t>456 ff.</w:t>
      </w:r>
    </w:p>
    <w:p w14:paraId="1C3A0AEA" w14:textId="77777777" w:rsidR="00611E2E" w:rsidRDefault="00611E2E" w:rsidP="00521F96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Pr="00611E2E">
        <w:rPr>
          <w:b/>
          <w:lang w:val="de-DE"/>
        </w:rPr>
        <w:t>Drittvergütung von Aufsichtsratsmitgliedern</w:t>
      </w:r>
      <w:r>
        <w:rPr>
          <w:lang w:val="de-DE"/>
        </w:rPr>
        <w:t xml:space="preserve">, </w:t>
      </w:r>
      <w:r w:rsidR="00AE00F8">
        <w:rPr>
          <w:lang w:val="de-DE"/>
        </w:rPr>
        <w:t>Der Aufsichtsrat</w:t>
      </w:r>
      <w:r w:rsidR="009006A9">
        <w:rPr>
          <w:lang w:val="de-DE"/>
        </w:rPr>
        <w:t xml:space="preserve"> 2015, S. 84</w:t>
      </w:r>
      <w:r w:rsidR="00D65F70">
        <w:rPr>
          <w:lang w:val="de-DE"/>
        </w:rPr>
        <w:t xml:space="preserve"> f</w:t>
      </w:r>
      <w:r>
        <w:rPr>
          <w:lang w:val="de-DE"/>
        </w:rPr>
        <w:t>.</w:t>
      </w:r>
    </w:p>
    <w:p w14:paraId="79C1765D" w14:textId="77777777" w:rsidR="00A35E09" w:rsidRDefault="00A35E09" w:rsidP="00A35E09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b/>
          <w:lang w:val="de-DE"/>
        </w:rPr>
        <w:tab/>
      </w:r>
      <w:r w:rsidRPr="00A35E09">
        <w:rPr>
          <w:b/>
          <w:lang w:val="de-DE"/>
        </w:rPr>
        <w:t>Zuhorn: Grenzüberschreitende Verschmelzungen zwischen deutschen und englischen börsennotierten Aktiengesellschaf</w:t>
      </w:r>
      <w:r w:rsidR="00CD3EEA">
        <w:rPr>
          <w:b/>
          <w:lang w:val="de-DE"/>
        </w:rPr>
        <w:t>ten – ein Harmonisierungserfolg</w:t>
      </w:r>
      <w:r w:rsidRPr="00A35E09">
        <w:rPr>
          <w:b/>
          <w:lang w:val="de-DE"/>
        </w:rPr>
        <w:t>? Ein Rechtsvergleich des deutschen und englischen Verschmelzungsrechts nach Umsetzung der Richtlinie 56/2005/EG mit besonderem Blick auf den Minderheitenschutz</w:t>
      </w:r>
      <w:r w:rsidRPr="00A35E09">
        <w:rPr>
          <w:lang w:val="de-DE"/>
        </w:rPr>
        <w:t>,</w:t>
      </w:r>
      <w:r w:rsidR="00CD3EEA">
        <w:rPr>
          <w:lang w:val="de-DE"/>
        </w:rPr>
        <w:t xml:space="preserve"> ZHR 182 (2018), S. 234 </w:t>
      </w:r>
      <w:r>
        <w:rPr>
          <w:lang w:val="de-DE"/>
        </w:rPr>
        <w:t xml:space="preserve">ff. </w:t>
      </w:r>
    </w:p>
    <w:p w14:paraId="0DE6D94E" w14:textId="77777777" w:rsidR="00521F96" w:rsidRDefault="00521F96" w:rsidP="00A35E09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b/>
          <w:lang w:val="de-DE"/>
        </w:rPr>
        <w:tab/>
        <w:t xml:space="preserve">Marsch-Barner/Schäfer: Handbuch börsennotierte AG, </w:t>
      </w:r>
      <w:r>
        <w:rPr>
          <w:lang w:val="de-DE"/>
        </w:rPr>
        <w:t>AG 2018, S. 335.</w:t>
      </w:r>
    </w:p>
    <w:p w14:paraId="6C2B4134" w14:textId="301A0E96" w:rsidR="00CD3EEA" w:rsidRDefault="00CD3EEA" w:rsidP="00CD3EEA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b/>
          <w:lang w:val="de-DE"/>
        </w:rPr>
        <w:tab/>
        <w:t xml:space="preserve">Company Law Package: Unternehmensmobilität in der </w:t>
      </w:r>
      <w:r w:rsidRPr="00CD3EEA">
        <w:rPr>
          <w:b/>
          <w:lang w:val="de-DE"/>
        </w:rPr>
        <w:t>EU</w:t>
      </w:r>
      <w:r>
        <w:rPr>
          <w:b/>
          <w:lang w:val="de-DE"/>
        </w:rPr>
        <w:t xml:space="preserve"> (Interview)</w:t>
      </w:r>
      <w:r w:rsidRPr="00CD3EEA">
        <w:rPr>
          <w:lang w:val="de-DE"/>
        </w:rPr>
        <w:t xml:space="preserve">, </w:t>
      </w:r>
      <w:r>
        <w:rPr>
          <w:lang w:val="de-DE"/>
        </w:rPr>
        <w:t>Der Betrieb, 20 (2018), M</w:t>
      </w:r>
      <w:r w:rsidR="00C3358C">
        <w:rPr>
          <w:lang w:val="de-DE"/>
        </w:rPr>
        <w:t> </w:t>
      </w:r>
      <w:r>
        <w:rPr>
          <w:lang w:val="de-DE"/>
        </w:rPr>
        <w:t>28-29.</w:t>
      </w:r>
    </w:p>
    <w:p w14:paraId="72AE501B" w14:textId="1DCDB92F" w:rsidR="0007199E" w:rsidRDefault="0007199E" w:rsidP="00CD3EEA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b/>
          <w:lang w:val="de-DE"/>
        </w:rPr>
        <w:tab/>
      </w:r>
      <w:r w:rsidRPr="004C311C">
        <w:rPr>
          <w:b/>
          <w:lang w:val="de-DE"/>
        </w:rPr>
        <w:t>Assmann/</w:t>
      </w:r>
      <w:r>
        <w:rPr>
          <w:b/>
          <w:lang w:val="de-DE"/>
        </w:rPr>
        <w:t>/U.H. Schneider/Mülbert:</w:t>
      </w:r>
      <w:r w:rsidRPr="004C311C">
        <w:rPr>
          <w:b/>
          <w:lang w:val="de-DE"/>
        </w:rPr>
        <w:t xml:space="preserve"> Wertpapier</w:t>
      </w:r>
      <w:r>
        <w:rPr>
          <w:b/>
          <w:lang w:val="de-DE"/>
        </w:rPr>
        <w:t>handelsrecht</w:t>
      </w:r>
      <w:r w:rsidRPr="004C311C">
        <w:rPr>
          <w:lang w:val="de-DE"/>
        </w:rPr>
        <w:t>,</w:t>
      </w:r>
      <w:r w:rsidRPr="00C52852">
        <w:rPr>
          <w:b/>
          <w:bCs/>
          <w:lang w:val="de-DE"/>
        </w:rPr>
        <w:t xml:space="preserve"> </w:t>
      </w:r>
      <w:r w:rsidR="00C52852" w:rsidRPr="00C52852">
        <w:rPr>
          <w:b/>
          <w:bCs/>
          <w:lang w:val="de-DE"/>
        </w:rPr>
        <w:t>Kommentar, 8. Auflage</w:t>
      </w:r>
      <w:r w:rsidR="00C52852">
        <w:rPr>
          <w:lang w:val="de-DE"/>
        </w:rPr>
        <w:t xml:space="preserve">, </w:t>
      </w:r>
      <w:r w:rsidRPr="00164179">
        <w:rPr>
          <w:lang w:val="de-DE"/>
        </w:rPr>
        <w:t>AG 20</w:t>
      </w:r>
      <w:r w:rsidR="00C52852">
        <w:rPr>
          <w:lang w:val="de-DE"/>
        </w:rPr>
        <w:t>23</w:t>
      </w:r>
      <w:r w:rsidRPr="00164179">
        <w:rPr>
          <w:lang w:val="de-DE"/>
        </w:rPr>
        <w:t>, S.</w:t>
      </w:r>
      <w:r>
        <w:rPr>
          <w:lang w:val="de-DE"/>
        </w:rPr>
        <w:t> </w:t>
      </w:r>
      <w:r w:rsidR="00C52852">
        <w:rPr>
          <w:lang w:val="de-DE"/>
        </w:rPr>
        <w:t>712</w:t>
      </w:r>
    </w:p>
    <w:p w14:paraId="462929E5" w14:textId="2F5DA8D4" w:rsidR="00CC575C" w:rsidRDefault="00CC575C" w:rsidP="00CD3EEA">
      <w:pPr>
        <w:pStyle w:val="BulletedList"/>
        <w:numPr>
          <w:ilvl w:val="0"/>
          <w:numId w:val="0"/>
        </w:numPr>
        <w:ind w:left="720" w:hanging="720"/>
        <w:jc w:val="both"/>
        <w:rPr>
          <w:b/>
          <w:lang w:val="de-DE"/>
        </w:rPr>
      </w:pPr>
      <w:r>
        <w:rPr>
          <w:b/>
          <w:lang w:val="de-DE"/>
        </w:rPr>
        <w:tab/>
      </w:r>
      <w:r w:rsidRPr="00CC575C">
        <w:rPr>
          <w:b/>
          <w:lang w:val="de-DE"/>
        </w:rPr>
        <w:t xml:space="preserve">Mathias Habersack/Peter O. Mülbert/Michael Schlitt, Unternehmensfinanzierung am Kapitalmarkt, </w:t>
      </w:r>
      <w:r w:rsidR="007726F5">
        <w:rPr>
          <w:b/>
          <w:lang w:val="de-DE"/>
        </w:rPr>
        <w:t>5. Auflage</w:t>
      </w:r>
      <w:r w:rsidR="007726F5" w:rsidRPr="007726F5">
        <w:rPr>
          <w:bCs/>
          <w:lang w:val="de-DE"/>
        </w:rPr>
        <w:t>,</w:t>
      </w:r>
      <w:r w:rsidR="007726F5">
        <w:rPr>
          <w:b/>
          <w:lang w:val="de-DE"/>
        </w:rPr>
        <w:t xml:space="preserve"> </w:t>
      </w:r>
      <w:r w:rsidRPr="00CC575C">
        <w:rPr>
          <w:bCs/>
          <w:lang w:val="de-DE"/>
        </w:rPr>
        <w:t xml:space="preserve">WM 2025, </w:t>
      </w:r>
      <w:r>
        <w:rPr>
          <w:bCs/>
          <w:lang w:val="de-DE"/>
        </w:rPr>
        <w:t>S. </w:t>
      </w:r>
      <w:r w:rsidRPr="00CC575C">
        <w:rPr>
          <w:bCs/>
          <w:lang w:val="de-DE"/>
        </w:rPr>
        <w:t>234</w:t>
      </w:r>
      <w:r>
        <w:rPr>
          <w:bCs/>
          <w:lang w:val="de-DE"/>
        </w:rPr>
        <w:t> ff.</w:t>
      </w:r>
    </w:p>
    <w:p w14:paraId="0C87B050" w14:textId="77777777" w:rsidR="00CC575C" w:rsidRPr="00CD3EEA" w:rsidRDefault="00CC575C" w:rsidP="00CD3EEA">
      <w:pPr>
        <w:pStyle w:val="BulletedList"/>
        <w:numPr>
          <w:ilvl w:val="0"/>
          <w:numId w:val="0"/>
        </w:numPr>
        <w:ind w:left="720" w:hanging="720"/>
        <w:jc w:val="both"/>
        <w:rPr>
          <w:b/>
          <w:lang w:val="de-DE"/>
        </w:rPr>
      </w:pPr>
    </w:p>
    <w:p w14:paraId="527146C0" w14:textId="77777777" w:rsidR="00DE5EDB" w:rsidRPr="00CA14DA" w:rsidRDefault="00DE5EDB">
      <w:pPr>
        <w:pStyle w:val="Heading1"/>
        <w:rPr>
          <w:u w:val="single"/>
        </w:rPr>
      </w:pPr>
      <w:r w:rsidRPr="00CA14DA">
        <w:rPr>
          <w:u w:val="single"/>
        </w:rPr>
        <w:t xml:space="preserve">Herausgeberschaften </w:t>
      </w:r>
      <w:r w:rsidR="006B0684" w:rsidRPr="00CA14DA">
        <w:rPr>
          <w:u w:val="single"/>
        </w:rPr>
        <w:br/>
      </w:r>
    </w:p>
    <w:p w14:paraId="5EB40C17" w14:textId="77777777" w:rsidR="00DE5EDB" w:rsidRPr="001B79C4" w:rsidRDefault="006B0684" w:rsidP="006B0684">
      <w:pPr>
        <w:pStyle w:val="BulletedList"/>
        <w:numPr>
          <w:ilvl w:val="0"/>
          <w:numId w:val="0"/>
        </w:numPr>
        <w:ind w:left="720" w:hanging="720"/>
        <w:jc w:val="both"/>
        <w:rPr>
          <w:lang w:val="de-DE"/>
        </w:rPr>
      </w:pPr>
      <w:r>
        <w:rPr>
          <w:lang w:val="de-DE"/>
        </w:rPr>
        <w:tab/>
      </w:r>
      <w:r w:rsidR="00713F71" w:rsidRPr="001B79C4">
        <w:rPr>
          <w:lang w:val="de-DE"/>
        </w:rPr>
        <w:t>Mith</w:t>
      </w:r>
      <w:r w:rsidR="00DE5EDB" w:rsidRPr="001B79C4">
        <w:rPr>
          <w:lang w:val="de-DE"/>
        </w:rPr>
        <w:t xml:space="preserve">erausgeber der </w:t>
      </w:r>
      <w:r w:rsidR="00DE5EDB" w:rsidRPr="007349D6">
        <w:rPr>
          <w:b/>
          <w:lang w:val="de-DE"/>
        </w:rPr>
        <w:t>Corporate Finance Law</w:t>
      </w:r>
      <w:r w:rsidR="00E84DE6" w:rsidRPr="007349D6">
        <w:rPr>
          <w:b/>
          <w:lang w:val="de-DE"/>
        </w:rPr>
        <w:t xml:space="preserve"> (CFL)</w:t>
      </w:r>
      <w:r w:rsidR="00DE5EDB" w:rsidRPr="001B79C4">
        <w:rPr>
          <w:lang w:val="de-DE"/>
        </w:rPr>
        <w:t xml:space="preserve"> </w:t>
      </w:r>
      <w:r w:rsidR="004D0DCC" w:rsidRPr="001B79C4">
        <w:rPr>
          <w:lang w:val="de-DE"/>
        </w:rPr>
        <w:t>von</w:t>
      </w:r>
      <w:r w:rsidR="00DE5EDB" w:rsidRPr="001B79C4">
        <w:rPr>
          <w:lang w:val="de-DE"/>
        </w:rPr>
        <w:t xml:space="preserve"> 2010</w:t>
      </w:r>
      <w:r w:rsidR="004D0DCC" w:rsidRPr="001B79C4">
        <w:rPr>
          <w:lang w:val="de-DE"/>
        </w:rPr>
        <w:t xml:space="preserve"> bis </w:t>
      </w:r>
      <w:r w:rsidR="004C311C">
        <w:rPr>
          <w:lang w:val="de-DE"/>
        </w:rPr>
        <w:t xml:space="preserve">einschl. </w:t>
      </w:r>
      <w:r w:rsidR="004D0DCC" w:rsidRPr="001B79C4">
        <w:rPr>
          <w:lang w:val="de-DE"/>
        </w:rPr>
        <w:t>2013</w:t>
      </w:r>
      <w:r w:rsidR="004C311C">
        <w:rPr>
          <w:lang w:val="de-DE"/>
        </w:rPr>
        <w:t>.</w:t>
      </w:r>
    </w:p>
    <w:sectPr w:rsidR="00DE5EDB" w:rsidRPr="001B79C4" w:rsidSect="00412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D23C" w14:textId="77777777" w:rsidR="00765D83" w:rsidRDefault="00765D83">
      <w:r>
        <w:separator/>
      </w:r>
    </w:p>
  </w:endnote>
  <w:endnote w:type="continuationSeparator" w:id="0">
    <w:p w14:paraId="318CF34C" w14:textId="77777777" w:rsidR="00765D83" w:rsidRDefault="0076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3C9A" w14:textId="77777777" w:rsidR="00F76BE5" w:rsidRDefault="00F76BE5" w:rsidP="00F76BE5">
    <w:pPr>
      <w:pStyle w:val="Footer"/>
    </w:pPr>
  </w:p>
  <w:tbl>
    <w:tblPr>
      <w:tblW w:w="91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67"/>
      <w:gridCol w:w="1834"/>
      <w:gridCol w:w="3668"/>
    </w:tblGrid>
    <w:tr w:rsidR="00F76BE5" w14:paraId="691CA6F5" w14:textId="77777777" w:rsidTr="00C52852">
      <w:tc>
        <w:tcPr>
          <w:tcW w:w="2000" w:type="pct"/>
          <w:vAlign w:val="bottom"/>
        </w:tcPr>
        <w:p w14:paraId="35E8BAAF" w14:textId="2AA51FF8" w:rsidR="00F76BE5" w:rsidRPr="00C52852" w:rsidRDefault="0009401E" w:rsidP="00C52852">
          <w:pPr>
            <w:pStyle w:val="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DOCXDOCID DMS=IManage Format=&lt;&lt;LIB&gt;&gt; &lt;&lt;NUM&gt;&gt; v&lt;&lt;VER&gt;&gt; \* MERGEFORMAT </w:instrText>
          </w:r>
          <w:r>
            <w:rPr>
              <w:sz w:val="12"/>
            </w:rPr>
            <w:fldChar w:fldCharType="separate"/>
          </w:r>
          <w:r w:rsidR="007C12E5">
            <w:rPr>
              <w:rStyle w:val="DocID"/>
            </w:rPr>
            <w:t>EMEA 101065355 v25</w:t>
          </w:r>
          <w:r>
            <w:rPr>
              <w:sz w:val="12"/>
            </w:rPr>
            <w:fldChar w:fldCharType="end"/>
          </w:r>
        </w:p>
      </w:tc>
      <w:tc>
        <w:tcPr>
          <w:tcW w:w="1000" w:type="pct"/>
        </w:tcPr>
        <w:p w14:paraId="3C4EA424" w14:textId="77777777" w:rsidR="00F76BE5" w:rsidRDefault="00F76BE5" w:rsidP="00C52852">
          <w:pPr>
            <w:pStyle w:val="WCPageNumber"/>
            <w:jc w:val="center"/>
          </w:pPr>
        </w:p>
      </w:tc>
      <w:tc>
        <w:tcPr>
          <w:tcW w:w="2000" w:type="pct"/>
        </w:tcPr>
        <w:p w14:paraId="2FFBC761" w14:textId="77777777" w:rsidR="00F76BE5" w:rsidRDefault="00F76BE5" w:rsidP="00C52852">
          <w:pPr>
            <w:pStyle w:val="Footer"/>
            <w:jc w:val="right"/>
          </w:pPr>
        </w:p>
      </w:tc>
    </w:tr>
  </w:tbl>
  <w:p w14:paraId="0B3DF33A" w14:textId="77777777" w:rsidR="00F76BE5" w:rsidRPr="00C52852" w:rsidRDefault="00F76BE5" w:rsidP="00F76BE5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7EB9" w14:textId="77777777" w:rsidR="001F61B6" w:rsidRDefault="001F61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3D2E">
      <w:rPr>
        <w:noProof/>
      </w:rPr>
      <w:t>1</w:t>
    </w:r>
    <w:r>
      <w:rPr>
        <w:noProof/>
      </w:rPr>
      <w:fldChar w:fldCharType="end"/>
    </w:r>
  </w:p>
  <w:tbl>
    <w:tblPr>
      <w:tblW w:w="91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67"/>
      <w:gridCol w:w="1834"/>
      <w:gridCol w:w="3668"/>
    </w:tblGrid>
    <w:tr w:rsidR="00F76BE5" w14:paraId="3631755A" w14:textId="77777777" w:rsidTr="00C52852">
      <w:tc>
        <w:tcPr>
          <w:tcW w:w="2000" w:type="pct"/>
          <w:vAlign w:val="bottom"/>
        </w:tcPr>
        <w:p w14:paraId="31988CF9" w14:textId="1B2E1532" w:rsidR="00F76BE5" w:rsidRPr="00C52852" w:rsidRDefault="0009401E" w:rsidP="00C52852">
          <w:pPr>
            <w:pStyle w:val="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DOCXDOCID DMS=IManage Format=&lt;&lt;LIB&gt;&gt; &lt;&lt;NUM&gt;&gt; v&lt;&lt;VER&gt;&gt; \* MERGEFORMAT </w:instrText>
          </w:r>
          <w:r>
            <w:rPr>
              <w:sz w:val="12"/>
            </w:rPr>
            <w:fldChar w:fldCharType="separate"/>
          </w:r>
          <w:r w:rsidR="007C12E5">
            <w:rPr>
              <w:rStyle w:val="DocID"/>
            </w:rPr>
            <w:t>EMEA 101065355 v25</w:t>
          </w:r>
          <w:r>
            <w:rPr>
              <w:sz w:val="12"/>
            </w:rPr>
            <w:fldChar w:fldCharType="end"/>
          </w:r>
        </w:p>
      </w:tc>
      <w:tc>
        <w:tcPr>
          <w:tcW w:w="1000" w:type="pct"/>
        </w:tcPr>
        <w:p w14:paraId="4464F969" w14:textId="77777777" w:rsidR="00F76BE5" w:rsidRDefault="00F76BE5" w:rsidP="00C52852">
          <w:pPr>
            <w:pStyle w:val="WCPageNumber"/>
            <w:jc w:val="center"/>
          </w:pPr>
        </w:p>
      </w:tc>
      <w:tc>
        <w:tcPr>
          <w:tcW w:w="2000" w:type="pct"/>
        </w:tcPr>
        <w:p w14:paraId="70C0F986" w14:textId="77777777" w:rsidR="00F76BE5" w:rsidRDefault="00F76BE5" w:rsidP="00C52852">
          <w:pPr>
            <w:pStyle w:val="Footer"/>
            <w:jc w:val="right"/>
          </w:pPr>
        </w:p>
      </w:tc>
    </w:tr>
  </w:tbl>
  <w:p w14:paraId="226FD849" w14:textId="77777777" w:rsidR="00713F71" w:rsidRPr="00C52852" w:rsidRDefault="00713F71" w:rsidP="00F76BE5">
    <w:pPr>
      <w:pStyle w:val="Footer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E3D" w14:textId="77777777" w:rsidR="00F76BE5" w:rsidRDefault="00F76BE5" w:rsidP="00F76BE5">
    <w:pPr>
      <w:pStyle w:val="Footer"/>
    </w:pPr>
  </w:p>
  <w:tbl>
    <w:tblPr>
      <w:tblW w:w="91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67"/>
      <w:gridCol w:w="1834"/>
      <w:gridCol w:w="3668"/>
    </w:tblGrid>
    <w:tr w:rsidR="00F76BE5" w14:paraId="6D81C36E" w14:textId="77777777" w:rsidTr="00C52852">
      <w:tc>
        <w:tcPr>
          <w:tcW w:w="2000" w:type="pct"/>
          <w:vAlign w:val="bottom"/>
        </w:tcPr>
        <w:p w14:paraId="7D4BB7E6" w14:textId="3F751955" w:rsidR="00F76BE5" w:rsidRPr="00C52852" w:rsidRDefault="0009401E" w:rsidP="00C52852">
          <w:pPr>
            <w:pStyle w:val="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DOCXDOCID DMS=IManage Format=&lt;&lt;LIB&gt;&gt; &lt;&lt;NUM&gt;&gt; v&lt;&lt;VER&gt;&gt; \* MERGEFORMAT </w:instrText>
          </w:r>
          <w:r>
            <w:rPr>
              <w:sz w:val="12"/>
            </w:rPr>
            <w:fldChar w:fldCharType="separate"/>
          </w:r>
          <w:r w:rsidR="007C12E5">
            <w:rPr>
              <w:rStyle w:val="DocID"/>
            </w:rPr>
            <w:t>EMEA 101065355 v25</w:t>
          </w:r>
          <w:r>
            <w:rPr>
              <w:sz w:val="12"/>
            </w:rPr>
            <w:fldChar w:fldCharType="end"/>
          </w:r>
        </w:p>
      </w:tc>
      <w:tc>
        <w:tcPr>
          <w:tcW w:w="1000" w:type="pct"/>
        </w:tcPr>
        <w:p w14:paraId="5CDAE62B" w14:textId="77777777" w:rsidR="00F76BE5" w:rsidRDefault="00F76BE5" w:rsidP="00C52852">
          <w:pPr>
            <w:pStyle w:val="WCPageNumber"/>
            <w:jc w:val="center"/>
          </w:pPr>
        </w:p>
      </w:tc>
      <w:tc>
        <w:tcPr>
          <w:tcW w:w="2000" w:type="pct"/>
        </w:tcPr>
        <w:p w14:paraId="54BCE3F3" w14:textId="77777777" w:rsidR="00F76BE5" w:rsidRDefault="00F76BE5" w:rsidP="00C52852">
          <w:pPr>
            <w:pStyle w:val="Footer"/>
            <w:jc w:val="right"/>
          </w:pPr>
        </w:p>
      </w:tc>
    </w:tr>
  </w:tbl>
  <w:p w14:paraId="26335138" w14:textId="77777777" w:rsidR="00F76BE5" w:rsidRPr="00C52852" w:rsidRDefault="00F76BE5" w:rsidP="00F76BE5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8CDB" w14:textId="77777777" w:rsidR="00765D83" w:rsidRDefault="00765D83">
      <w:r>
        <w:separator/>
      </w:r>
    </w:p>
  </w:footnote>
  <w:footnote w:type="continuationSeparator" w:id="0">
    <w:p w14:paraId="51813A79" w14:textId="77777777" w:rsidR="00765D83" w:rsidRDefault="0076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66F4" w14:textId="77777777" w:rsidR="00F76BE5" w:rsidRDefault="00F76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CF0C" w14:textId="77777777" w:rsidR="00F76BE5" w:rsidRDefault="00F76B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0F59" w14:textId="77777777" w:rsidR="00F76BE5" w:rsidRDefault="00F76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B44B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B49A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4C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A85E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C2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44C9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3682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20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4C2A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768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5EC0"/>
    <w:multiLevelType w:val="multilevel"/>
    <w:tmpl w:val="053897A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EF3AC4"/>
    <w:multiLevelType w:val="hybridMultilevel"/>
    <w:tmpl w:val="715898C6"/>
    <w:lvl w:ilvl="0" w:tplc="B0620D06">
      <w:start w:val="1"/>
      <w:numFmt w:val="bullet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C6DAB"/>
    <w:multiLevelType w:val="multilevel"/>
    <w:tmpl w:val="5E5C6846"/>
    <w:lvl w:ilvl="0">
      <w:start w:val="1"/>
      <w:numFmt w:val="bullet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B11DBC"/>
    <w:multiLevelType w:val="hybridMultilevel"/>
    <w:tmpl w:val="54687180"/>
    <w:lvl w:ilvl="0" w:tplc="4E3A9E82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212ED"/>
    <w:multiLevelType w:val="hybridMultilevel"/>
    <w:tmpl w:val="34F61596"/>
    <w:lvl w:ilvl="0" w:tplc="95520A8E">
      <w:start w:val="1"/>
      <w:numFmt w:val="decimal"/>
      <w:pStyle w:val="BodyTextNumbered"/>
      <w:lvlText w:val="%1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F162F"/>
    <w:multiLevelType w:val="multilevel"/>
    <w:tmpl w:val="DE36417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DE717B"/>
    <w:multiLevelType w:val="hybridMultilevel"/>
    <w:tmpl w:val="7316730E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2B233F0"/>
    <w:multiLevelType w:val="hybridMultilevel"/>
    <w:tmpl w:val="5E5C6846"/>
    <w:lvl w:ilvl="0" w:tplc="B29A7052">
      <w:start w:val="1"/>
      <w:numFmt w:val="bullet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32DF8"/>
    <w:multiLevelType w:val="hybridMultilevel"/>
    <w:tmpl w:val="5E5C684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75BE7"/>
    <w:multiLevelType w:val="multilevel"/>
    <w:tmpl w:val="6254A970"/>
    <w:lvl w:ilvl="0">
      <w:start w:val="1"/>
      <w:numFmt w:val="upperRoman"/>
      <w:lvlText w:val="%1."/>
      <w:lvlJc w:val="left"/>
      <w:pPr>
        <w:tabs>
          <w:tab w:val="num" w:pos="1440"/>
        </w:tabs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6F6129"/>
    <w:multiLevelType w:val="hybridMultilevel"/>
    <w:tmpl w:val="6E007FB0"/>
    <w:lvl w:ilvl="0" w:tplc="0192A43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51453"/>
    <w:multiLevelType w:val="hybridMultilevel"/>
    <w:tmpl w:val="F672295E"/>
    <w:lvl w:ilvl="0" w:tplc="D1E4CC66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790448">
    <w:abstractNumId w:val="21"/>
  </w:num>
  <w:num w:numId="2" w16cid:durableId="2042591445">
    <w:abstractNumId w:val="14"/>
  </w:num>
  <w:num w:numId="3" w16cid:durableId="245959671">
    <w:abstractNumId w:val="9"/>
  </w:num>
  <w:num w:numId="4" w16cid:durableId="317806369">
    <w:abstractNumId w:val="7"/>
  </w:num>
  <w:num w:numId="5" w16cid:durableId="538711136">
    <w:abstractNumId w:val="6"/>
  </w:num>
  <w:num w:numId="6" w16cid:durableId="1921523182">
    <w:abstractNumId w:val="5"/>
  </w:num>
  <w:num w:numId="7" w16cid:durableId="507405526">
    <w:abstractNumId w:val="4"/>
  </w:num>
  <w:num w:numId="8" w16cid:durableId="1730767996">
    <w:abstractNumId w:val="8"/>
  </w:num>
  <w:num w:numId="9" w16cid:durableId="1826319044">
    <w:abstractNumId w:val="3"/>
  </w:num>
  <w:num w:numId="10" w16cid:durableId="348527839">
    <w:abstractNumId w:val="2"/>
  </w:num>
  <w:num w:numId="11" w16cid:durableId="971446433">
    <w:abstractNumId w:val="1"/>
  </w:num>
  <w:num w:numId="12" w16cid:durableId="958995088">
    <w:abstractNumId w:val="0"/>
  </w:num>
  <w:num w:numId="13" w16cid:durableId="299385812">
    <w:abstractNumId w:val="18"/>
  </w:num>
  <w:num w:numId="14" w16cid:durableId="541865215">
    <w:abstractNumId w:val="17"/>
  </w:num>
  <w:num w:numId="15" w16cid:durableId="441801597">
    <w:abstractNumId w:val="12"/>
  </w:num>
  <w:num w:numId="16" w16cid:durableId="1784183034">
    <w:abstractNumId w:val="11"/>
  </w:num>
  <w:num w:numId="17" w16cid:durableId="1914045469">
    <w:abstractNumId w:val="13"/>
  </w:num>
  <w:num w:numId="18" w16cid:durableId="101269129">
    <w:abstractNumId w:val="15"/>
  </w:num>
  <w:num w:numId="19" w16cid:durableId="1275407186">
    <w:abstractNumId w:val="19"/>
  </w:num>
  <w:num w:numId="20" w16cid:durableId="125468606">
    <w:abstractNumId w:val="10"/>
  </w:num>
  <w:num w:numId="21" w16cid:durableId="214700784">
    <w:abstractNumId w:val="20"/>
  </w:num>
  <w:num w:numId="22" w16cid:durableId="21636562">
    <w:abstractNumId w:val="20"/>
  </w:num>
  <w:num w:numId="23" w16cid:durableId="691958662">
    <w:abstractNumId w:val="20"/>
  </w:num>
  <w:num w:numId="24" w16cid:durableId="1905993583">
    <w:abstractNumId w:val="20"/>
  </w:num>
  <w:num w:numId="25" w16cid:durableId="980887648">
    <w:abstractNumId w:val="20"/>
  </w:num>
  <w:num w:numId="26" w16cid:durableId="1525703558">
    <w:abstractNumId w:val="20"/>
  </w:num>
  <w:num w:numId="27" w16cid:durableId="1143037985">
    <w:abstractNumId w:val="20"/>
  </w:num>
  <w:num w:numId="28" w16cid:durableId="128286213">
    <w:abstractNumId w:val="20"/>
  </w:num>
  <w:num w:numId="29" w16cid:durableId="67582947">
    <w:abstractNumId w:val="20"/>
  </w:num>
  <w:num w:numId="30" w16cid:durableId="156461271">
    <w:abstractNumId w:val="13"/>
  </w:num>
  <w:num w:numId="31" w16cid:durableId="1229267256">
    <w:abstractNumId w:val="20"/>
  </w:num>
  <w:num w:numId="32" w16cid:durableId="1295453765">
    <w:abstractNumId w:val="13"/>
  </w:num>
  <w:num w:numId="33" w16cid:durableId="1925453433">
    <w:abstractNumId w:val="20"/>
  </w:num>
  <w:num w:numId="34" w16cid:durableId="234123991">
    <w:abstractNumId w:val="20"/>
  </w:num>
  <w:num w:numId="35" w16cid:durableId="498737157">
    <w:abstractNumId w:val="16"/>
  </w:num>
  <w:num w:numId="36" w16cid:durableId="1868525342">
    <w:abstractNumId w:val="20"/>
  </w:num>
  <w:num w:numId="37" w16cid:durableId="1754886359">
    <w:abstractNumId w:val="20"/>
  </w:num>
  <w:num w:numId="38" w16cid:durableId="1438061345">
    <w:abstractNumId w:val="20"/>
  </w:num>
  <w:num w:numId="39" w16cid:durableId="1941794367">
    <w:abstractNumId w:val="20"/>
  </w:num>
  <w:num w:numId="40" w16cid:durableId="635255199">
    <w:abstractNumId w:val="20"/>
  </w:num>
  <w:num w:numId="41" w16cid:durableId="1471049134">
    <w:abstractNumId w:val="20"/>
  </w:num>
  <w:num w:numId="42" w16cid:durableId="116340902">
    <w:abstractNumId w:val="20"/>
  </w:num>
  <w:num w:numId="43" w16cid:durableId="1079257057">
    <w:abstractNumId w:val="20"/>
  </w:num>
  <w:num w:numId="44" w16cid:durableId="1933126410">
    <w:abstractNumId w:val="20"/>
  </w:num>
  <w:num w:numId="45" w16cid:durableId="547452680">
    <w:abstractNumId w:val="20"/>
  </w:num>
  <w:num w:numId="46" w16cid:durableId="861821414">
    <w:abstractNumId w:val="20"/>
  </w:num>
  <w:num w:numId="47" w16cid:durableId="911819954">
    <w:abstractNumId w:val="20"/>
  </w:num>
  <w:num w:numId="48" w16cid:durableId="14367534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MRemoved" w:val="True"/>
    <w:docVar w:name="DateRemoved" w:val="True"/>
    <w:docVar w:name="DocIDAllPagesExceptFirst" w:val="False"/>
    <w:docVar w:name="DocIDAuthor" w:val="False"/>
    <w:docVar w:name="DocIDClientMatter" w:val="False"/>
    <w:docVar w:name="DocIDDate" w:val="False"/>
    <w:docVar w:name="DocIDDateText" w:val="Fals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False"/>
    <w:docVar w:name="DocIDPrintedDate" w:val="False"/>
    <w:docVar w:name="DocIDRemoved" w:val="False"/>
    <w:docVar w:name="DocIDTime" w:val="False"/>
    <w:docVar w:name="DocIDType" w:val="AllPages"/>
    <w:docVar w:name="DocIDTypist" w:val="False"/>
    <w:docVar w:name="DocIDVersion" w:val="True"/>
    <w:docVar w:name="DraftRemoved" w:val="True"/>
    <w:docVar w:name="LegacyDocIDRemoved" w:val="True"/>
    <w:docVar w:name="TimeRemoved" w:val="True"/>
    <w:docVar w:name="W&amp;C_Doc#" w:val="101065355"/>
    <w:docVar w:name="W&amp;C_Lib" w:val="EMEA"/>
    <w:docVar w:name="W&amp;C_Ver#" w:val="17"/>
  </w:docVars>
  <w:rsids>
    <w:rsidRoot w:val="00DE5EDB"/>
    <w:rsid w:val="00003E39"/>
    <w:rsid w:val="000041D0"/>
    <w:rsid w:val="00004E3C"/>
    <w:rsid w:val="00005DDA"/>
    <w:rsid w:val="000129CB"/>
    <w:rsid w:val="0002217E"/>
    <w:rsid w:val="000238C5"/>
    <w:rsid w:val="00025683"/>
    <w:rsid w:val="0002793C"/>
    <w:rsid w:val="00034E77"/>
    <w:rsid w:val="00052BAE"/>
    <w:rsid w:val="00054259"/>
    <w:rsid w:val="0007199E"/>
    <w:rsid w:val="00083AA6"/>
    <w:rsid w:val="00083C6A"/>
    <w:rsid w:val="0009401E"/>
    <w:rsid w:val="000A172E"/>
    <w:rsid w:val="000A713C"/>
    <w:rsid w:val="000C1CC9"/>
    <w:rsid w:val="000C2150"/>
    <w:rsid w:val="000C6EB9"/>
    <w:rsid w:val="000D2C79"/>
    <w:rsid w:val="000D3D2E"/>
    <w:rsid w:val="000D3FA6"/>
    <w:rsid w:val="000F0447"/>
    <w:rsid w:val="000F0E6C"/>
    <w:rsid w:val="00102AAB"/>
    <w:rsid w:val="001053AA"/>
    <w:rsid w:val="00114F2F"/>
    <w:rsid w:val="00140097"/>
    <w:rsid w:val="00141168"/>
    <w:rsid w:val="00152B09"/>
    <w:rsid w:val="00164179"/>
    <w:rsid w:val="00170659"/>
    <w:rsid w:val="00174CEC"/>
    <w:rsid w:val="00177589"/>
    <w:rsid w:val="0019108C"/>
    <w:rsid w:val="00194D6C"/>
    <w:rsid w:val="001B0A6C"/>
    <w:rsid w:val="001B1772"/>
    <w:rsid w:val="001B5F6A"/>
    <w:rsid w:val="001B79C4"/>
    <w:rsid w:val="001D7D54"/>
    <w:rsid w:val="001E5B4D"/>
    <w:rsid w:val="001F61B6"/>
    <w:rsid w:val="0020402A"/>
    <w:rsid w:val="00211523"/>
    <w:rsid w:val="0021451D"/>
    <w:rsid w:val="002271C5"/>
    <w:rsid w:val="00243F28"/>
    <w:rsid w:val="002460EC"/>
    <w:rsid w:val="00296CB4"/>
    <w:rsid w:val="002973E1"/>
    <w:rsid w:val="002A44C8"/>
    <w:rsid w:val="002B220B"/>
    <w:rsid w:val="002B2B97"/>
    <w:rsid w:val="002B55D9"/>
    <w:rsid w:val="002C3F54"/>
    <w:rsid w:val="002D217A"/>
    <w:rsid w:val="002D2F98"/>
    <w:rsid w:val="00301AD3"/>
    <w:rsid w:val="00303E68"/>
    <w:rsid w:val="0030480C"/>
    <w:rsid w:val="00310568"/>
    <w:rsid w:val="00313E01"/>
    <w:rsid w:val="0031473C"/>
    <w:rsid w:val="00324DAC"/>
    <w:rsid w:val="00340509"/>
    <w:rsid w:val="003466B5"/>
    <w:rsid w:val="0035188D"/>
    <w:rsid w:val="00351FD9"/>
    <w:rsid w:val="003627D4"/>
    <w:rsid w:val="00363B2F"/>
    <w:rsid w:val="00364133"/>
    <w:rsid w:val="00373645"/>
    <w:rsid w:val="003824A0"/>
    <w:rsid w:val="00386164"/>
    <w:rsid w:val="003A4948"/>
    <w:rsid w:val="003A4EEA"/>
    <w:rsid w:val="003B029F"/>
    <w:rsid w:val="003C5F6C"/>
    <w:rsid w:val="003F13B4"/>
    <w:rsid w:val="0041288E"/>
    <w:rsid w:val="004144EF"/>
    <w:rsid w:val="0041660B"/>
    <w:rsid w:val="00420DA3"/>
    <w:rsid w:val="0043078B"/>
    <w:rsid w:val="00450F03"/>
    <w:rsid w:val="004563FD"/>
    <w:rsid w:val="00461F35"/>
    <w:rsid w:val="004677A8"/>
    <w:rsid w:val="0047347F"/>
    <w:rsid w:val="00476FDF"/>
    <w:rsid w:val="00482BCD"/>
    <w:rsid w:val="00491D55"/>
    <w:rsid w:val="00492476"/>
    <w:rsid w:val="00496A94"/>
    <w:rsid w:val="004C311C"/>
    <w:rsid w:val="004C6989"/>
    <w:rsid w:val="004D0DCC"/>
    <w:rsid w:val="004D26F1"/>
    <w:rsid w:val="004D49FE"/>
    <w:rsid w:val="004F32EB"/>
    <w:rsid w:val="004F67EF"/>
    <w:rsid w:val="00506E07"/>
    <w:rsid w:val="005104AF"/>
    <w:rsid w:val="00512D88"/>
    <w:rsid w:val="00513EDF"/>
    <w:rsid w:val="00521F96"/>
    <w:rsid w:val="00524F6D"/>
    <w:rsid w:val="00525189"/>
    <w:rsid w:val="00536C28"/>
    <w:rsid w:val="00544AAA"/>
    <w:rsid w:val="00545EE5"/>
    <w:rsid w:val="00554F3B"/>
    <w:rsid w:val="005A2FDF"/>
    <w:rsid w:val="005A4AE5"/>
    <w:rsid w:val="005A5AA1"/>
    <w:rsid w:val="005B5BFA"/>
    <w:rsid w:val="005D2DD9"/>
    <w:rsid w:val="005E0BF6"/>
    <w:rsid w:val="005E1067"/>
    <w:rsid w:val="005F4195"/>
    <w:rsid w:val="00611E2E"/>
    <w:rsid w:val="00616FC4"/>
    <w:rsid w:val="00620F34"/>
    <w:rsid w:val="006631BD"/>
    <w:rsid w:val="00673F3C"/>
    <w:rsid w:val="006753FE"/>
    <w:rsid w:val="00676F3A"/>
    <w:rsid w:val="00682569"/>
    <w:rsid w:val="0069286D"/>
    <w:rsid w:val="006934B2"/>
    <w:rsid w:val="006B0684"/>
    <w:rsid w:val="006B6B4D"/>
    <w:rsid w:val="006C1651"/>
    <w:rsid w:val="006D5F88"/>
    <w:rsid w:val="006E187A"/>
    <w:rsid w:val="006E2D73"/>
    <w:rsid w:val="006E3F17"/>
    <w:rsid w:val="006F0161"/>
    <w:rsid w:val="007023F1"/>
    <w:rsid w:val="00711EDA"/>
    <w:rsid w:val="00713F71"/>
    <w:rsid w:val="00716E11"/>
    <w:rsid w:val="00727ED9"/>
    <w:rsid w:val="007349D6"/>
    <w:rsid w:val="00736757"/>
    <w:rsid w:val="00742893"/>
    <w:rsid w:val="00745342"/>
    <w:rsid w:val="007513AB"/>
    <w:rsid w:val="00756CD2"/>
    <w:rsid w:val="00765D83"/>
    <w:rsid w:val="00772317"/>
    <w:rsid w:val="007726F5"/>
    <w:rsid w:val="007815CC"/>
    <w:rsid w:val="007A4C84"/>
    <w:rsid w:val="007B23C2"/>
    <w:rsid w:val="007B4674"/>
    <w:rsid w:val="007C12E5"/>
    <w:rsid w:val="007E1005"/>
    <w:rsid w:val="007E5286"/>
    <w:rsid w:val="00801FF3"/>
    <w:rsid w:val="00830BD5"/>
    <w:rsid w:val="00855509"/>
    <w:rsid w:val="00875D7D"/>
    <w:rsid w:val="0088201F"/>
    <w:rsid w:val="008B2DF5"/>
    <w:rsid w:val="008B3B9D"/>
    <w:rsid w:val="008C6BCB"/>
    <w:rsid w:val="008C751C"/>
    <w:rsid w:val="008E0BAE"/>
    <w:rsid w:val="008F175D"/>
    <w:rsid w:val="008F69D3"/>
    <w:rsid w:val="009006A9"/>
    <w:rsid w:val="009104F2"/>
    <w:rsid w:val="0091234B"/>
    <w:rsid w:val="00913191"/>
    <w:rsid w:val="00916EC2"/>
    <w:rsid w:val="009232EC"/>
    <w:rsid w:val="00923D5F"/>
    <w:rsid w:val="00930E8A"/>
    <w:rsid w:val="00934E14"/>
    <w:rsid w:val="00950E05"/>
    <w:rsid w:val="009524EE"/>
    <w:rsid w:val="00952B7D"/>
    <w:rsid w:val="00973371"/>
    <w:rsid w:val="00982460"/>
    <w:rsid w:val="00987364"/>
    <w:rsid w:val="00995F10"/>
    <w:rsid w:val="009A1ABB"/>
    <w:rsid w:val="009A3A93"/>
    <w:rsid w:val="009B043C"/>
    <w:rsid w:val="009B089D"/>
    <w:rsid w:val="009E04DB"/>
    <w:rsid w:val="009E1E8E"/>
    <w:rsid w:val="009F18DE"/>
    <w:rsid w:val="00A04832"/>
    <w:rsid w:val="00A10FC4"/>
    <w:rsid w:val="00A33963"/>
    <w:rsid w:val="00A35E09"/>
    <w:rsid w:val="00A47336"/>
    <w:rsid w:val="00A564FE"/>
    <w:rsid w:val="00A56F7E"/>
    <w:rsid w:val="00A6300A"/>
    <w:rsid w:val="00A76688"/>
    <w:rsid w:val="00A84FF8"/>
    <w:rsid w:val="00A85C75"/>
    <w:rsid w:val="00A87C4B"/>
    <w:rsid w:val="00A905A6"/>
    <w:rsid w:val="00A9448B"/>
    <w:rsid w:val="00A94E1B"/>
    <w:rsid w:val="00AA2C2E"/>
    <w:rsid w:val="00AA31C0"/>
    <w:rsid w:val="00AD521B"/>
    <w:rsid w:val="00AE00F8"/>
    <w:rsid w:val="00AF07A4"/>
    <w:rsid w:val="00AF73D5"/>
    <w:rsid w:val="00B061C5"/>
    <w:rsid w:val="00B11791"/>
    <w:rsid w:val="00B1545B"/>
    <w:rsid w:val="00B206B6"/>
    <w:rsid w:val="00B24B5F"/>
    <w:rsid w:val="00B25D0C"/>
    <w:rsid w:val="00B30848"/>
    <w:rsid w:val="00B5359B"/>
    <w:rsid w:val="00B60834"/>
    <w:rsid w:val="00B65A0A"/>
    <w:rsid w:val="00B810C1"/>
    <w:rsid w:val="00B83451"/>
    <w:rsid w:val="00BA2D53"/>
    <w:rsid w:val="00BA34B3"/>
    <w:rsid w:val="00BA636B"/>
    <w:rsid w:val="00BA7181"/>
    <w:rsid w:val="00BB0363"/>
    <w:rsid w:val="00BC5AED"/>
    <w:rsid w:val="00BD2145"/>
    <w:rsid w:val="00BD3AB9"/>
    <w:rsid w:val="00BD68CF"/>
    <w:rsid w:val="00BE2583"/>
    <w:rsid w:val="00BE2F67"/>
    <w:rsid w:val="00C14840"/>
    <w:rsid w:val="00C25C76"/>
    <w:rsid w:val="00C3358C"/>
    <w:rsid w:val="00C335F0"/>
    <w:rsid w:val="00C36DB7"/>
    <w:rsid w:val="00C43E22"/>
    <w:rsid w:val="00C46F74"/>
    <w:rsid w:val="00C52852"/>
    <w:rsid w:val="00C7141A"/>
    <w:rsid w:val="00C76C10"/>
    <w:rsid w:val="00C8406E"/>
    <w:rsid w:val="00C84826"/>
    <w:rsid w:val="00C910CC"/>
    <w:rsid w:val="00C95A0C"/>
    <w:rsid w:val="00C97D25"/>
    <w:rsid w:val="00CA14DA"/>
    <w:rsid w:val="00CB6BC6"/>
    <w:rsid w:val="00CC575C"/>
    <w:rsid w:val="00CD3EEA"/>
    <w:rsid w:val="00CD3F47"/>
    <w:rsid w:val="00CD75F1"/>
    <w:rsid w:val="00CE563F"/>
    <w:rsid w:val="00CF6BC8"/>
    <w:rsid w:val="00D077B8"/>
    <w:rsid w:val="00D13D92"/>
    <w:rsid w:val="00D162FC"/>
    <w:rsid w:val="00D26C8C"/>
    <w:rsid w:val="00D27C0D"/>
    <w:rsid w:val="00D515E7"/>
    <w:rsid w:val="00D52375"/>
    <w:rsid w:val="00D527A1"/>
    <w:rsid w:val="00D54198"/>
    <w:rsid w:val="00D65F70"/>
    <w:rsid w:val="00D73185"/>
    <w:rsid w:val="00D93182"/>
    <w:rsid w:val="00DA0E70"/>
    <w:rsid w:val="00DA25E4"/>
    <w:rsid w:val="00DB4AB5"/>
    <w:rsid w:val="00DB6491"/>
    <w:rsid w:val="00DE161F"/>
    <w:rsid w:val="00DE5EDB"/>
    <w:rsid w:val="00E03639"/>
    <w:rsid w:val="00E16F09"/>
    <w:rsid w:val="00E25938"/>
    <w:rsid w:val="00E279FB"/>
    <w:rsid w:val="00E40206"/>
    <w:rsid w:val="00E5490A"/>
    <w:rsid w:val="00E557A2"/>
    <w:rsid w:val="00E63E3D"/>
    <w:rsid w:val="00E83179"/>
    <w:rsid w:val="00E84DE6"/>
    <w:rsid w:val="00EB1652"/>
    <w:rsid w:val="00EB4F72"/>
    <w:rsid w:val="00EB6349"/>
    <w:rsid w:val="00EE0603"/>
    <w:rsid w:val="00EF0F4B"/>
    <w:rsid w:val="00F21434"/>
    <w:rsid w:val="00F23045"/>
    <w:rsid w:val="00F23519"/>
    <w:rsid w:val="00F616D8"/>
    <w:rsid w:val="00F6766D"/>
    <w:rsid w:val="00F67B40"/>
    <w:rsid w:val="00F733C5"/>
    <w:rsid w:val="00F73DB2"/>
    <w:rsid w:val="00F76BE5"/>
    <w:rsid w:val="00F80968"/>
    <w:rsid w:val="00F9332D"/>
    <w:rsid w:val="00F9344F"/>
    <w:rsid w:val="00F944AC"/>
    <w:rsid w:val="00FA3D73"/>
    <w:rsid w:val="00FA7A40"/>
    <w:rsid w:val="00FB2AA7"/>
    <w:rsid w:val="00FB4194"/>
    <w:rsid w:val="00FC0EBD"/>
    <w:rsid w:val="00FC6E0E"/>
    <w:rsid w:val="00F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,"/>
  <w:listSeparator w:val=";"/>
  <w14:docId w14:val="37E78A99"/>
  <w15:chartTrackingRefBased/>
  <w15:docId w15:val="{156FBF55-548C-40D8-845A-F7A0E74B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BodyText2"/>
    <w:qFormat/>
    <w:pPr>
      <w:keepNext/>
      <w:numPr>
        <w:numId w:val="17"/>
      </w:numPr>
      <w:suppressAutoHyphens/>
      <w:spacing w:after="240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BodyText"/>
    <w:qFormat/>
    <w:pPr>
      <w:keepNext/>
      <w:suppressAutoHyphens/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BodyText"/>
    <w:qFormat/>
    <w:pPr>
      <w:suppressAutoHyphens/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BodyText"/>
    <w:qFormat/>
    <w:p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BodyText"/>
    <w:qFormat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qFormat/>
    <w:p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BodyText"/>
    <w:qFormat/>
    <w:pPr>
      <w:spacing w:after="240"/>
      <w:outlineLvl w:val="6"/>
    </w:pPr>
  </w:style>
  <w:style w:type="paragraph" w:styleId="Heading8">
    <w:name w:val="heading 8"/>
    <w:basedOn w:val="Normal"/>
    <w:next w:val="BodyText"/>
    <w:qFormat/>
    <w:pPr>
      <w:spacing w:after="240"/>
      <w:outlineLvl w:val="7"/>
    </w:pPr>
    <w:rPr>
      <w:iCs/>
    </w:rPr>
  </w:style>
  <w:style w:type="paragraph" w:styleId="Heading9">
    <w:name w:val="heading 9"/>
    <w:basedOn w:val="Normal"/>
    <w:next w:val="BodyText"/>
    <w:qFormat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link w:val="BlockTextChar"/>
    <w:pPr>
      <w:spacing w:after="240"/>
    </w:pPr>
  </w:style>
  <w:style w:type="paragraph" w:styleId="BodyText">
    <w:name w:val="Body Text"/>
    <w:basedOn w:val="Normal"/>
    <w:pPr>
      <w:spacing w:after="240"/>
      <w:ind w:firstLine="1440"/>
    </w:pPr>
  </w:style>
  <w:style w:type="character" w:styleId="Hyperlink">
    <w:name w:val="Hyperlink"/>
    <w:rPr>
      <w:color w:val="0000FF"/>
      <w:u w:val="single"/>
      <w:lang w:val="de-DE"/>
    </w:rPr>
  </w:style>
  <w:style w:type="paragraph" w:styleId="BodyText2">
    <w:name w:val="Body Text 2"/>
    <w:basedOn w:val="Normal"/>
    <w:pPr>
      <w:spacing w:line="480" w:lineRule="auto"/>
      <w:ind w:firstLine="1440"/>
    </w:pPr>
  </w:style>
  <w:style w:type="paragraph" w:customStyle="1" w:styleId="BodyText2J">
    <w:name w:val="Body Text 2 J"/>
    <w:basedOn w:val="BodyText2"/>
    <w:pPr>
      <w:jc w:val="both"/>
    </w:pPr>
  </w:style>
  <w:style w:type="paragraph" w:styleId="BodyText3">
    <w:name w:val="Body Text 3"/>
    <w:basedOn w:val="Normal"/>
    <w:pPr>
      <w:spacing w:line="360" w:lineRule="auto"/>
      <w:ind w:firstLine="1440"/>
    </w:pPr>
    <w:rPr>
      <w:szCs w:val="16"/>
    </w:rPr>
  </w:style>
  <w:style w:type="paragraph" w:customStyle="1" w:styleId="BodyText3J">
    <w:name w:val="Body Text 3 J"/>
    <w:basedOn w:val="BodyText3"/>
    <w:pPr>
      <w:jc w:val="both"/>
    </w:pPr>
  </w:style>
  <w:style w:type="paragraph" w:customStyle="1" w:styleId="BodyTextJ">
    <w:name w:val="Body Text J"/>
    <w:basedOn w:val="BodyText"/>
    <w:pPr>
      <w:jc w:val="both"/>
    </w:pPr>
  </w:style>
  <w:style w:type="paragraph" w:customStyle="1" w:styleId="BodyTextNumbered">
    <w:name w:val="Body Text Numbered"/>
    <w:basedOn w:val="BodyText"/>
    <w:pPr>
      <w:numPr>
        <w:numId w:val="2"/>
      </w:numPr>
      <w:tabs>
        <w:tab w:val="clear" w:pos="1800"/>
      </w:tabs>
    </w:pPr>
  </w:style>
  <w:style w:type="paragraph" w:styleId="Date">
    <w:name w:val="Date"/>
    <w:basedOn w:val="Normal"/>
    <w:next w:val="Normal"/>
    <w:pPr>
      <w:spacing w:after="240"/>
    </w:pPr>
  </w:style>
  <w:style w:type="character" w:customStyle="1" w:styleId="DocID">
    <w:name w:val="DocID"/>
    <w:rPr>
      <w:sz w:val="16"/>
      <w:lang w:val="de-DE"/>
    </w:rPr>
  </w:style>
  <w:style w:type="paragraph" w:styleId="EndnoteText">
    <w:name w:val="endnote text"/>
    <w:basedOn w:val="Normal"/>
    <w:next w:val="EndnoteTextMore"/>
    <w:semiHidden/>
    <w:pPr>
      <w:spacing w:after="200"/>
      <w:ind w:left="720" w:hanging="720"/>
    </w:pPr>
    <w:rPr>
      <w:sz w:val="20"/>
    </w:rPr>
  </w:style>
  <w:style w:type="paragraph" w:customStyle="1" w:styleId="EndnoteTextMore">
    <w:name w:val="Endnote TextMore"/>
    <w:basedOn w:val="EndnoteText"/>
    <w:pPr>
      <w:ind w:firstLine="0"/>
    </w:p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</w:style>
  <w:style w:type="paragraph" w:styleId="FootnoteText">
    <w:name w:val="footnote text"/>
    <w:basedOn w:val="Normal"/>
    <w:next w:val="FootnoteTextMore"/>
    <w:semiHidden/>
    <w:pPr>
      <w:spacing w:after="200"/>
      <w:ind w:left="720" w:hanging="720"/>
    </w:pPr>
    <w:rPr>
      <w:sz w:val="20"/>
    </w:rPr>
  </w:style>
  <w:style w:type="paragraph" w:customStyle="1" w:styleId="FootnoteTextMore">
    <w:name w:val="Footnote TextMore"/>
    <w:basedOn w:val="FootnoteText"/>
    <w:pPr>
      <w:ind w:firstLine="0"/>
    </w:pPr>
  </w:style>
  <w:style w:type="paragraph" w:styleId="Header">
    <w:name w:val="header"/>
    <w:basedOn w:val="Normal"/>
    <w:pPr>
      <w:tabs>
        <w:tab w:val="center" w:pos="4500"/>
        <w:tab w:val="right" w:pos="9000"/>
      </w:tabs>
    </w:pPr>
  </w:style>
  <w:style w:type="character" w:styleId="PageNumber">
    <w:name w:val="page number"/>
    <w:basedOn w:val="DefaultParagraphFont"/>
    <w:rPr>
      <w:lang w:val="de-DE"/>
    </w:rPr>
  </w:style>
  <w:style w:type="paragraph" w:styleId="Salutation">
    <w:name w:val="Salutation"/>
    <w:basedOn w:val="Normal"/>
    <w:next w:val="Normal"/>
  </w:style>
  <w:style w:type="paragraph" w:customStyle="1" w:styleId="BlockText5">
    <w:name w:val="Block Text .5"/>
    <w:basedOn w:val="BlockText"/>
    <w:pPr>
      <w:ind w:left="720" w:right="720"/>
    </w:pPr>
  </w:style>
  <w:style w:type="paragraph" w:styleId="Title">
    <w:name w:val="Title"/>
    <w:basedOn w:val="Normal"/>
    <w:next w:val="BodyText"/>
    <w:qFormat/>
    <w:pPr>
      <w:spacing w:after="240"/>
      <w:jc w:val="center"/>
    </w:pPr>
    <w:rPr>
      <w:b/>
      <w:bCs/>
      <w:kern w:val="28"/>
      <w:szCs w:val="32"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432" w:hanging="720"/>
    </w:pPr>
    <w:rPr>
      <w:noProof/>
    </w:rPr>
  </w:style>
  <w:style w:type="paragraph" w:styleId="TOC2">
    <w:name w:val="toc 2"/>
    <w:basedOn w:val="Normal"/>
    <w:next w:val="Normal"/>
    <w:autoRedefine/>
    <w:semiHidden/>
    <w:pPr>
      <w:spacing w:after="240"/>
      <w:ind w:left="1440" w:right="432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spacing w:after="240"/>
      <w:ind w:left="2160" w:right="432" w:hanging="72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8630"/>
      </w:tabs>
      <w:spacing w:after="240"/>
      <w:ind w:left="2880" w:right="432" w:hanging="720"/>
    </w:pPr>
    <w:rPr>
      <w:noProof/>
    </w:rPr>
  </w:style>
  <w:style w:type="paragraph" w:styleId="TOC5">
    <w:name w:val="toc 5"/>
    <w:basedOn w:val="Normal"/>
    <w:next w:val="Normal"/>
    <w:autoRedefine/>
    <w:semiHidden/>
    <w:pPr>
      <w:spacing w:after="240"/>
      <w:ind w:left="3600" w:right="432" w:hanging="720"/>
    </w:pPr>
    <w:rPr>
      <w:noProof/>
    </w:rPr>
  </w:style>
  <w:style w:type="paragraph" w:styleId="TOC6">
    <w:name w:val="toc 6"/>
    <w:basedOn w:val="Normal"/>
    <w:next w:val="Normal"/>
    <w:autoRedefine/>
    <w:semiHidden/>
    <w:pPr>
      <w:spacing w:after="240"/>
      <w:ind w:left="4320" w:right="432" w:hanging="720"/>
    </w:pPr>
    <w:rPr>
      <w:noProof/>
    </w:rPr>
  </w:style>
  <w:style w:type="paragraph" w:styleId="TOC7">
    <w:name w:val="toc 7"/>
    <w:basedOn w:val="Normal"/>
    <w:next w:val="Normal"/>
    <w:autoRedefine/>
    <w:semiHidden/>
    <w:pPr>
      <w:spacing w:after="240"/>
      <w:ind w:left="5040" w:right="432" w:hanging="720"/>
    </w:pPr>
    <w:rPr>
      <w:noProof/>
    </w:rPr>
  </w:style>
  <w:style w:type="paragraph" w:styleId="TOC8">
    <w:name w:val="toc 8"/>
    <w:basedOn w:val="Normal"/>
    <w:next w:val="Normal"/>
    <w:autoRedefine/>
    <w:semiHidden/>
    <w:pPr>
      <w:spacing w:after="240"/>
      <w:ind w:left="5760" w:right="432" w:hanging="720"/>
    </w:pPr>
    <w:rPr>
      <w:noProof/>
    </w:rPr>
  </w:style>
  <w:style w:type="paragraph" w:styleId="TOC9">
    <w:name w:val="toc 9"/>
    <w:basedOn w:val="Normal"/>
    <w:next w:val="Normal"/>
    <w:autoRedefine/>
    <w:semiHidden/>
    <w:pPr>
      <w:ind w:left="6480" w:right="432" w:hanging="720"/>
    </w:pPr>
    <w:rPr>
      <w:noProof/>
    </w:rPr>
  </w:style>
  <w:style w:type="paragraph" w:customStyle="1" w:styleId="TitleL">
    <w:name w:val="Title L"/>
    <w:basedOn w:val="Title"/>
    <w:pPr>
      <w:jc w:val="left"/>
    </w:pPr>
  </w:style>
  <w:style w:type="paragraph" w:customStyle="1" w:styleId="BlockText1">
    <w:name w:val="Block Text 1"/>
    <w:basedOn w:val="Normal"/>
    <w:pPr>
      <w:spacing w:after="240"/>
      <w:ind w:left="1440" w:right="1829"/>
    </w:pPr>
  </w:style>
  <w:style w:type="paragraph" w:customStyle="1" w:styleId="BlockTextJ">
    <w:name w:val="Block Text J"/>
    <w:basedOn w:val="Normal"/>
    <w:pPr>
      <w:jc w:val="both"/>
    </w:pPr>
  </w:style>
  <w:style w:type="paragraph" w:customStyle="1" w:styleId="HangingIndent">
    <w:name w:val="Hanging Indent"/>
    <w:basedOn w:val="BlockText"/>
    <w:pPr>
      <w:ind w:left="2160" w:hanging="2160"/>
    </w:pPr>
  </w:style>
  <w:style w:type="paragraph" w:styleId="BodyTextFirstIndent">
    <w:name w:val="Body Text First Indent"/>
    <w:basedOn w:val="BodyText"/>
    <w:pPr>
      <w:spacing w:after="120"/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character" w:styleId="CommentReference">
    <w:name w:val="annotation reference"/>
    <w:semiHidden/>
    <w:rPr>
      <w:sz w:val="16"/>
      <w:szCs w:val="16"/>
      <w:lang w:val="de-DE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character" w:styleId="Emphasis">
    <w:name w:val="Emphasis"/>
    <w:qFormat/>
    <w:rPr>
      <w:i/>
      <w:iCs/>
      <w:lang w:val="de-DE"/>
    </w:rPr>
  </w:style>
  <w:style w:type="character" w:styleId="EndnoteReference">
    <w:name w:val="endnote reference"/>
    <w:semiHidden/>
    <w:rPr>
      <w:vertAlign w:val="superscript"/>
      <w:lang w:val="de-DE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  <w:lang w:val="de-DE"/>
    </w:rPr>
  </w:style>
  <w:style w:type="character" w:styleId="FootnoteReference">
    <w:name w:val="footnote reference"/>
    <w:semiHidden/>
    <w:rPr>
      <w:vertAlign w:val="superscript"/>
      <w:lang w:val="de-DE"/>
    </w:rPr>
  </w:style>
  <w:style w:type="character" w:styleId="HTMLAcronym">
    <w:name w:val="HTML Acronym"/>
    <w:basedOn w:val="DefaultParagraphFont"/>
    <w:rPr>
      <w:lang w:val="de-DE"/>
    </w:rPr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i/>
      <w:iCs/>
      <w:lang w:val="de-DE"/>
    </w:rPr>
  </w:style>
  <w:style w:type="character" w:styleId="HTMLCode">
    <w:name w:val="HTML Code"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rPr>
      <w:i/>
      <w:iCs/>
      <w:lang w:val="de-DE"/>
    </w:rPr>
  </w:style>
  <w:style w:type="character" w:styleId="HTMLKeyboard">
    <w:name w:val="HTML Keyboard"/>
    <w:rPr>
      <w:rFonts w:ascii="Courier New" w:hAnsi="Courier New"/>
      <w:sz w:val="20"/>
      <w:szCs w:val="20"/>
      <w:lang w:val="de-DE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rPr>
      <w:rFonts w:ascii="Courier New" w:hAnsi="Courier New"/>
      <w:lang w:val="de-DE"/>
    </w:rPr>
  </w:style>
  <w:style w:type="character" w:styleId="HTMLTypewriter">
    <w:name w:val="HTML Typewriter"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rPr>
      <w:i/>
      <w:iCs/>
      <w:lang w:val="de-D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rPr>
      <w:lang w:val="de-DE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qFormat/>
    <w:rPr>
      <w:b/>
      <w:bCs/>
      <w:lang w:val="de-DE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customStyle="1" w:styleId="BulletedList">
    <w:name w:val="Bulleted List"/>
    <w:basedOn w:val="Normal"/>
    <w:pPr>
      <w:numPr>
        <w:numId w:val="21"/>
      </w:numPr>
      <w:tabs>
        <w:tab w:val="left" w:pos="1440"/>
      </w:tabs>
      <w:snapToGrid w:val="0"/>
      <w:spacing w:before="240" w:after="240" w:line="360" w:lineRule="auto"/>
    </w:pPr>
    <w:rPr>
      <w:sz w:val="22"/>
      <w:lang w:val="en-US"/>
    </w:rPr>
  </w:style>
  <w:style w:type="paragraph" w:styleId="BalloonText">
    <w:name w:val="Balloon Text"/>
    <w:basedOn w:val="Normal"/>
    <w:link w:val="BalloonTextChar"/>
    <w:rsid w:val="00FD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009E"/>
    <w:rPr>
      <w:rFonts w:ascii="Tahoma" w:hAnsi="Tahoma" w:cs="Tahoma"/>
      <w:sz w:val="16"/>
      <w:szCs w:val="16"/>
      <w:lang w:val="de-DE"/>
    </w:rPr>
  </w:style>
  <w:style w:type="character" w:customStyle="1" w:styleId="FooterChar">
    <w:name w:val="Footer Char"/>
    <w:link w:val="Footer"/>
    <w:uiPriority w:val="99"/>
    <w:rsid w:val="001F61B6"/>
    <w:rPr>
      <w:sz w:val="24"/>
      <w:lang w:eastAsia="en-US"/>
    </w:rPr>
  </w:style>
  <w:style w:type="paragraph" w:customStyle="1" w:styleId="WCPageNumber">
    <w:name w:val="WCPageNumber"/>
    <w:link w:val="WCPageNumberChar"/>
    <w:rsid w:val="00F76BE5"/>
    <w:rPr>
      <w:sz w:val="24"/>
      <w:lang w:eastAsia="en-US"/>
    </w:rPr>
  </w:style>
  <w:style w:type="character" w:customStyle="1" w:styleId="BlockTextChar">
    <w:name w:val="Block Text Char"/>
    <w:link w:val="BlockText"/>
    <w:rsid w:val="00F76BE5"/>
    <w:rPr>
      <w:sz w:val="24"/>
      <w:lang w:val="de-DE" w:eastAsia="en-US"/>
    </w:rPr>
  </w:style>
  <w:style w:type="character" w:customStyle="1" w:styleId="WCPageNumberChar">
    <w:name w:val="WCPageNumber Char"/>
    <w:basedOn w:val="BlockTextChar"/>
    <w:link w:val="WCPageNumber"/>
    <w:rsid w:val="00F76BE5"/>
    <w:rPr>
      <w:sz w:val="24"/>
      <w:lang w:val="de-DE" w:eastAsia="en-US"/>
    </w:rPr>
  </w:style>
  <w:style w:type="character" w:customStyle="1" w:styleId="st1">
    <w:name w:val="st1"/>
    <w:rsid w:val="00B2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&amp;s\Blank%20A-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EMEA!101065355.25</documentid>
  <senderid>ROK</senderid>
  <senderemail>ROGER.KIEM@WHITECASE.COM</senderemail>
  <lastmodified>2026-04-13T15:49:00.0000000+02:00</lastmodified>
  <database>EMEA</database>
</properties>
</file>

<file path=customXML/itemProps2.xml><?xml version="1.0" encoding="utf-8"?>
<ds:datastoreItem xmlns:ds="http://schemas.openxmlformats.org/officeDocument/2006/customXml" ds:itemID="{9AB6E5D3-8973-417A-9ABD-78778AE47343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AB31-D49E-4265-8330-035F97B6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A-4.dot</Template>
  <TotalTime>0</TotalTime>
  <Pages>1</Pages>
  <Words>1447</Words>
  <Characters>9924</Characters>
  <Application>Microsoft Office Word</Application>
  <DocSecurity>0</DocSecurity>
  <Lines>193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 der Publikationen</vt:lpstr>
    </vt:vector>
  </TitlesOfParts>
  <Company>Shearman &amp; Sterling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Publikationen</dc:title>
  <dc:subject/>
  <dc:creator>RK13365</dc:creator>
  <cp:keywords/>
  <dc:description/>
  <cp:lastModifiedBy>Roger Kiem</cp:lastModifiedBy>
  <cp:revision>10</cp:revision>
  <cp:lastPrinted>2019-08-01T13:38:00Z</cp:lastPrinted>
  <dcterms:created xsi:type="dcterms:W3CDTF">2026-01-27T16:27:00Z</dcterms:created>
  <dcterms:modified xsi:type="dcterms:W3CDTF">2026-04-13T13:49:00Z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3</vt:i4>
  </property>
  <property fmtid="{D5CDD505-2E9C-101B-9397-08002B2CF9AE}" pid="4" name="DocIDFieldExists">
    <vt:bool>false</vt:bool>
  </property>
  <property fmtid="{D5CDD505-2E9C-101B-9397-08002B2CF9AE}" pid="5" name="NRT_DocNumber">
    <vt:lpwstr>101065355</vt:lpwstr>
  </property>
  <property fmtid="{D5CDD505-2E9C-101B-9397-08002B2CF9AE}" pid="6" name="NRT_DocVersion">
    <vt:lpwstr>25</vt:lpwstr>
  </property>
  <property fmtid="{D5CDD505-2E9C-101B-9397-08002B2CF9AE}" pid="7" name="NRT_DocName">
    <vt:lpwstr>Schrifttumsverzeichnis_ROK_(Deutsch)</vt:lpwstr>
  </property>
  <property fmtid="{D5CDD505-2E9C-101B-9397-08002B2CF9AE}" pid="8" name="NRT_AuthorDescription">
    <vt:lpwstr>Laftavizadeh, Ute</vt:lpwstr>
  </property>
  <property fmtid="{D5CDD505-2E9C-101B-9397-08002B2CF9AE}" pid="9" name="NRT_Author">
    <vt:lpwstr>LAFTAUT</vt:lpwstr>
  </property>
  <property fmtid="{D5CDD505-2E9C-101B-9397-08002B2CF9AE}" pid="10" name="NRT_OperatorDescription">
    <vt:lpwstr>Keil, Violetta</vt:lpwstr>
  </property>
  <property fmtid="{D5CDD505-2E9C-101B-9397-08002B2CF9AE}" pid="11" name="NRT_Operator">
    <vt:lpwstr>ROK</vt:lpwstr>
  </property>
  <property fmtid="{D5CDD505-2E9C-101B-9397-08002B2CF9AE}" pid="12" name="NRT_ELITE_Client">
    <vt:lpwstr>1190195</vt:lpwstr>
  </property>
  <property fmtid="{D5CDD505-2E9C-101B-9397-08002B2CF9AE}" pid="13" name="NRT_ELITE_Matter">
    <vt:lpwstr>0001</vt:lpwstr>
  </property>
  <property fmtid="{D5CDD505-2E9C-101B-9397-08002B2CF9AE}" pid="14" name="NRT_Database">
    <vt:lpwstr>EMEA</vt:lpwstr>
  </property>
  <property fmtid="{D5CDD505-2E9C-101B-9397-08002B2CF9AE}" pid="15" name="pDocNumber">
    <vt:lpwstr>101065355_25 [EMEA]</vt:lpwstr>
  </property>
  <property fmtid="{D5CDD505-2E9C-101B-9397-08002B2CF9AE}" pid="16" name="pDocRef">
    <vt:lpwstr>1190195-0001.LAFTAUT.ROK</vt:lpwstr>
  </property>
  <property fmtid="{D5CDD505-2E9C-101B-9397-08002B2CF9AE}" pid="17" name="WC_LAST_MODIFIED">
    <vt:lpwstr>10/9/2023 2:25:20 PM</vt:lpwstr>
  </property>
  <property fmtid="{D5CDD505-2E9C-101B-9397-08002B2CF9AE}" pid="18" name="ModifiedDate">
    <vt:lpwstr/>
  </property>
  <property fmtid="{D5CDD505-2E9C-101B-9397-08002B2CF9AE}" pid="19" name="CreateDate">
    <vt:lpwstr>01.01.0001 01:00:00</vt:lpwstr>
  </property>
  <property fmtid="{D5CDD505-2E9C-101B-9397-08002B2CF9AE}" pid="20" name="FileModifyDate">
    <vt:lpwstr>01.01.0001 01:00:00</vt:lpwstr>
  </property>
  <property fmtid="{D5CDD505-2E9C-101B-9397-08002B2CF9AE}" pid="21" name="FileCreateDate">
    <vt:lpwstr>01.01.0001 01:00:00</vt:lpwstr>
  </property>
  <property fmtid="{D5CDD505-2E9C-101B-9397-08002B2CF9AE}" pid="22" name="DOCXDOCID">
    <vt:lpwstr>EMEA 101065355 v25</vt:lpwstr>
  </property>
  <property fmtid="{D5CDD505-2E9C-101B-9397-08002B2CF9AE}" pid="23" name="DocXFormat">
    <vt:lpwstr>3_WC_Lib_Num_Ver</vt:lpwstr>
  </property>
  <property fmtid="{D5CDD505-2E9C-101B-9397-08002B2CF9AE}" pid="24" name="DocXLocation">
    <vt:lpwstr>EveryPage</vt:lpwstr>
  </property>
  <property fmtid="{D5CDD505-2E9C-101B-9397-08002B2CF9AE}" pid="25" name="iManageFooter">
    <vt:lpwstr>#101065355v25&lt;EMEA&gt; - Schrifttumsverzeichnis_ROK_(Deutsch)</vt:lpwstr>
  </property>
</Properties>
</file>